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E1" w:rsidRDefault="00295EE1" w:rsidP="00295EE1">
      <w:pPr>
        <w:spacing w:after="0" w:line="480" w:lineRule="auto"/>
        <w:jc w:val="both"/>
        <w:rPr>
          <w:rFonts w:ascii="Arial" w:hAnsi="Arial" w:cs="Arial"/>
          <w:b/>
          <w:sz w:val="24"/>
          <w:szCs w:val="24"/>
        </w:rPr>
      </w:pPr>
    </w:p>
    <w:p w:rsidR="00295EE1" w:rsidRDefault="00295EE1" w:rsidP="00295EE1">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295EE1" w:rsidRDefault="00295EE1" w:rsidP="00295EE1">
      <w:pPr>
        <w:spacing w:after="0" w:line="480" w:lineRule="auto"/>
        <w:jc w:val="right"/>
        <w:rPr>
          <w:rFonts w:ascii="Arial" w:hAnsi="Arial" w:cs="Arial"/>
          <w:b/>
          <w:sz w:val="24"/>
          <w:szCs w:val="24"/>
        </w:rPr>
      </w:pPr>
      <w:r>
        <w:rPr>
          <w:rFonts w:ascii="Arial" w:hAnsi="Arial" w:cs="Arial"/>
          <w:b/>
          <w:sz w:val="24"/>
          <w:szCs w:val="24"/>
        </w:rPr>
        <w:t xml:space="preserve">Πειραιάς, </w:t>
      </w:r>
      <w:r w:rsidR="00FF7FE5">
        <w:rPr>
          <w:rFonts w:ascii="Arial" w:hAnsi="Arial" w:cs="Arial"/>
          <w:b/>
          <w:sz w:val="24"/>
          <w:szCs w:val="24"/>
        </w:rPr>
        <w:t>7</w:t>
      </w:r>
      <w:r>
        <w:rPr>
          <w:rFonts w:ascii="Arial" w:hAnsi="Arial" w:cs="Arial"/>
          <w:b/>
          <w:sz w:val="24"/>
          <w:szCs w:val="24"/>
        </w:rPr>
        <w:t xml:space="preserve"> Ιουνίου 2021</w:t>
      </w:r>
    </w:p>
    <w:p w:rsidR="00295EE1" w:rsidRDefault="00295EE1" w:rsidP="00295EE1">
      <w:pPr>
        <w:spacing w:after="0" w:line="480" w:lineRule="auto"/>
        <w:jc w:val="right"/>
        <w:rPr>
          <w:rFonts w:ascii="Arial" w:hAnsi="Arial" w:cs="Arial"/>
          <w:b/>
          <w:sz w:val="24"/>
          <w:szCs w:val="24"/>
        </w:rPr>
      </w:pPr>
    </w:p>
    <w:p w:rsidR="00295EE1" w:rsidRDefault="00295EE1" w:rsidP="00295EE1">
      <w:pPr>
        <w:spacing w:after="0" w:line="480" w:lineRule="auto"/>
        <w:jc w:val="center"/>
        <w:rPr>
          <w:rFonts w:ascii="Arial" w:hAnsi="Arial" w:cs="Arial"/>
          <w:b/>
          <w:sz w:val="24"/>
          <w:szCs w:val="24"/>
        </w:rPr>
      </w:pPr>
      <w:r>
        <w:rPr>
          <w:rFonts w:ascii="Arial" w:hAnsi="Arial" w:cs="Arial"/>
          <w:b/>
          <w:sz w:val="24"/>
          <w:szCs w:val="24"/>
        </w:rPr>
        <w:t xml:space="preserve">Αριθμός </w:t>
      </w:r>
      <w:r w:rsidR="00F8074C">
        <w:rPr>
          <w:rFonts w:ascii="Arial" w:hAnsi="Arial" w:cs="Arial"/>
          <w:b/>
          <w:sz w:val="24"/>
          <w:szCs w:val="24"/>
        </w:rPr>
        <w:t xml:space="preserve"> 183</w:t>
      </w:r>
      <w:r>
        <w:rPr>
          <w:rFonts w:ascii="Arial" w:hAnsi="Arial" w:cs="Arial"/>
          <w:b/>
          <w:sz w:val="24"/>
          <w:szCs w:val="24"/>
        </w:rPr>
        <w:t>/2021</w:t>
      </w:r>
    </w:p>
    <w:p w:rsidR="00295EE1" w:rsidRDefault="00295EE1" w:rsidP="00295EE1">
      <w:pPr>
        <w:spacing w:after="0" w:line="240" w:lineRule="auto"/>
        <w:jc w:val="center"/>
        <w:rPr>
          <w:rFonts w:ascii="Arial" w:hAnsi="Arial" w:cs="Arial"/>
          <w:b/>
          <w:sz w:val="24"/>
          <w:szCs w:val="24"/>
        </w:rPr>
      </w:pP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w:t>
      </w:r>
      <w:r w:rsidR="00F8074C">
        <w:rPr>
          <w:rFonts w:ascii="Arial" w:hAnsi="Arial" w:cs="Arial"/>
          <w:sz w:val="24"/>
          <w:szCs w:val="24"/>
        </w:rPr>
        <w:t>ιραιώς, βάσει της με αριθμό 2366 ΦΕΚ Β΄/5-6</w:t>
      </w:r>
      <w:r>
        <w:rPr>
          <w:rFonts w:ascii="Arial" w:hAnsi="Arial" w:cs="Arial"/>
          <w:sz w:val="24"/>
          <w:szCs w:val="24"/>
        </w:rPr>
        <w:t xml:space="preserve">-2021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w:t>
      </w:r>
      <w:r w:rsidR="008E4539">
        <w:rPr>
          <w:rFonts w:ascii="Arial" w:hAnsi="Arial" w:cs="Arial"/>
          <w:sz w:val="24"/>
          <w:szCs w:val="24"/>
        </w:rPr>
        <w:t>α το διάστημα από τη Δευτέρα, 7 Ιουνίου</w:t>
      </w:r>
      <w:r>
        <w:rPr>
          <w:rFonts w:ascii="Arial" w:hAnsi="Arial" w:cs="Arial"/>
          <w:sz w:val="24"/>
          <w:szCs w:val="24"/>
        </w:rPr>
        <w:t xml:space="preserve"> 2021 και ώρα 06:00΄</w:t>
      </w:r>
      <w:r w:rsidR="008E4539">
        <w:rPr>
          <w:rFonts w:ascii="Arial" w:hAnsi="Arial" w:cs="Arial"/>
          <w:sz w:val="24"/>
          <w:szCs w:val="24"/>
        </w:rPr>
        <w:t xml:space="preserve"> έως και τη Δευτέρα, 14</w:t>
      </w:r>
      <w:r>
        <w:rPr>
          <w:rFonts w:ascii="Arial" w:hAnsi="Arial" w:cs="Arial"/>
          <w:sz w:val="24"/>
          <w:szCs w:val="24"/>
        </w:rPr>
        <w:t xml:space="preserve"> Ιουνίου 2021 και ώρα 06:00΄». </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Σύμφωνα με την ανωτέρω Κ.Υ.Α., ως προς τον τρόπο λειτουργίας των Δικαστηρίων: </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α) Αναστέλλονται προσωρινά οι δίκες ενώπιον των πολιτικών και ποινικών δικαστηρίων.</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295EE1" w:rsidRDefault="00295EE1" w:rsidP="00295EE1">
      <w:pPr>
        <w:spacing w:after="0" w:line="480" w:lineRule="auto"/>
        <w:jc w:val="both"/>
        <w:rPr>
          <w:rFonts w:ascii="Arial" w:hAnsi="Arial" w:cs="Arial"/>
          <w:sz w:val="24"/>
          <w:szCs w:val="24"/>
        </w:rPr>
      </w:pPr>
      <w:r>
        <w:rPr>
          <w:rFonts w:ascii="Arial" w:hAnsi="Arial" w:cs="Arial"/>
          <w:sz w:val="24"/>
          <w:szCs w:val="24"/>
        </w:rPr>
        <w:t>……………………………………………………………………………………..</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τον ν. 4335/2015.</w:t>
      </w:r>
    </w:p>
    <w:p w:rsidR="00295EE1" w:rsidRDefault="00295EE1" w:rsidP="00295EE1">
      <w:pPr>
        <w:spacing w:after="0" w:line="480" w:lineRule="auto"/>
        <w:jc w:val="both"/>
        <w:rPr>
          <w:rFonts w:ascii="Arial" w:hAnsi="Arial" w:cs="Arial"/>
          <w:sz w:val="24"/>
          <w:szCs w:val="24"/>
        </w:rPr>
      </w:pPr>
      <w:r>
        <w:rPr>
          <w:rFonts w:ascii="Arial" w:hAnsi="Arial" w:cs="Arial"/>
          <w:sz w:val="24"/>
          <w:szCs w:val="24"/>
        </w:rPr>
        <w:t>……………………………………………………………………………………...</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t>βδ</w:t>
      </w:r>
      <w:proofErr w:type="spellEnd"/>
      <w:r>
        <w:rPr>
          <w:rFonts w:ascii="Arial" w:hAnsi="Arial" w:cs="Arial"/>
          <w:sz w:val="24"/>
          <w:szCs w:val="24"/>
        </w:rPr>
        <w:t>) Οι δίκες τακτικής διαδικασίας που εκδικάζονται σύμφωνα με τις διατάξεις του ν. 2915/2001 όπως τροποποιήθηκε με τον ν. 4055/2012.</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βστ</w:t>
      </w:r>
      <w:proofErr w:type="spellEnd"/>
      <w:r>
        <w:rPr>
          <w:rFonts w:ascii="Arial" w:hAnsi="Arial" w:cs="Arial"/>
          <w:sz w:val="24"/>
          <w:szCs w:val="24"/>
        </w:rPr>
        <w:t xml:space="preserve">)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295EE1" w:rsidRDefault="00295EE1" w:rsidP="00295EE1">
      <w:pPr>
        <w:spacing w:after="0" w:line="480" w:lineRule="auto"/>
        <w:jc w:val="both"/>
        <w:rPr>
          <w:rFonts w:ascii="Arial" w:hAnsi="Arial" w:cs="Arial"/>
          <w:sz w:val="24"/>
          <w:szCs w:val="24"/>
        </w:rPr>
      </w:pPr>
      <w:r>
        <w:rPr>
          <w:rFonts w:ascii="Arial" w:hAnsi="Arial" w:cs="Arial"/>
          <w:sz w:val="24"/>
          <w:szCs w:val="24"/>
        </w:rPr>
        <w:t>………………………………………………………………………………………</w:t>
      </w:r>
    </w:p>
    <w:p w:rsidR="00295EE1" w:rsidRDefault="00295EE1" w:rsidP="00295EE1">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295EE1" w:rsidRDefault="00295EE1" w:rsidP="00295EE1">
      <w:pPr>
        <w:spacing w:after="0" w:line="480" w:lineRule="auto"/>
        <w:jc w:val="both"/>
        <w:rPr>
          <w:rFonts w:ascii="Arial" w:hAnsi="Arial" w:cs="Arial"/>
          <w:sz w:val="24"/>
          <w:szCs w:val="24"/>
        </w:rPr>
      </w:pPr>
      <w:r>
        <w:rPr>
          <w:rFonts w:ascii="Arial" w:hAnsi="Arial" w:cs="Arial"/>
          <w:sz w:val="24"/>
          <w:szCs w:val="24"/>
        </w:rPr>
        <w:t>……………………………………………………………………………………….</w:t>
      </w:r>
    </w:p>
    <w:p w:rsidR="00295EE1" w:rsidRDefault="00295EE1" w:rsidP="00295EE1">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Η δημοσίευση αποφάσεων.</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w:t>
      </w:r>
      <w:r>
        <w:rPr>
          <w:rFonts w:ascii="Arial" w:hAnsi="Arial" w:cs="Arial"/>
          <w:sz w:val="24"/>
          <w:szCs w:val="24"/>
        </w:rPr>
        <w:lastRenderedPageBreak/>
        <w:t>άμεσης αντιμετώπισης, ρυθμίζονται με αποφάσεις των οργάνων διοίκησης αυτών».</w:t>
      </w:r>
    </w:p>
    <w:p w:rsidR="00295EE1" w:rsidRDefault="00295EE1" w:rsidP="00295EE1">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τις δίκες ασφαλιστικών μέτρων νομής,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 προστασία κατοικίας, με τη δυνατότητα εξέτασης μαρτύρων στο ακροατήριο.</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πλην της νέας τακτικής διαδικασίας, 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Pr="0039037E">
        <w:rPr>
          <w:rFonts w:ascii="Arial" w:hAnsi="Arial" w:cs="Arial"/>
          <w:sz w:val="24"/>
          <w:szCs w:val="24"/>
        </w:rPr>
        <w:t>§</w:t>
      </w:r>
      <w:r>
        <w:rPr>
          <w:rFonts w:ascii="Arial" w:hAnsi="Arial" w:cs="Arial"/>
          <w:sz w:val="24"/>
          <w:szCs w:val="24"/>
        </w:rPr>
        <w:t>4 ν. 4790/2021).</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 xml:space="preserve">3 </w:t>
      </w:r>
      <w:proofErr w:type="spellStart"/>
      <w:r>
        <w:rPr>
          <w:rFonts w:ascii="Arial" w:hAnsi="Arial" w:cs="Arial"/>
          <w:sz w:val="24"/>
          <w:szCs w:val="24"/>
        </w:rPr>
        <w:t>Κ.Πολ.Δ</w:t>
      </w:r>
      <w:proofErr w:type="spellEnd"/>
      <w:r>
        <w:rPr>
          <w:rFonts w:ascii="Arial" w:hAnsi="Arial" w:cs="Arial"/>
          <w:sz w:val="24"/>
          <w:szCs w:val="24"/>
        </w:rPr>
        <w:t xml:space="preserve">., με </w:t>
      </w:r>
      <w:proofErr w:type="spellStart"/>
      <w:r>
        <w:rPr>
          <w:rFonts w:ascii="Arial" w:hAnsi="Arial" w:cs="Arial"/>
          <w:sz w:val="24"/>
          <w:szCs w:val="24"/>
        </w:rPr>
        <w:t>χρονοκατανομή</w:t>
      </w:r>
      <w:proofErr w:type="spellEnd"/>
      <w:r>
        <w:rPr>
          <w:rFonts w:ascii="Arial" w:hAnsi="Arial" w:cs="Arial"/>
          <w:sz w:val="24"/>
          <w:szCs w:val="24"/>
        </w:rPr>
        <w:t xml:space="preserve"> των υποθέσεων από τον δικάζοντα Δικαστή.</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w:t>
      </w:r>
      <w:r>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295EE1" w:rsidRPr="003C1E5A"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είτε επί υπερχρεωμένων νοικοκυριών, δια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295EE1" w:rsidRPr="008C732E" w:rsidRDefault="00295EE1" w:rsidP="00295EE1">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295EE1" w:rsidRDefault="00295EE1" w:rsidP="00295EE1">
      <w:pPr>
        <w:spacing w:after="0" w:line="480" w:lineRule="auto"/>
        <w:ind w:firstLine="540"/>
        <w:jc w:val="both"/>
        <w:rPr>
          <w:rFonts w:ascii="Arial" w:hAnsi="Arial" w:cs="Arial"/>
          <w:sz w:val="24"/>
          <w:szCs w:val="24"/>
        </w:rPr>
      </w:pPr>
      <w:r>
        <w:rPr>
          <w:rFonts w:ascii="Arial" w:hAnsi="Arial" w:cs="Arial"/>
          <w:sz w:val="24"/>
          <w:szCs w:val="24"/>
        </w:rPr>
        <w:t>Οι Γραμματείς θα ευρίσκονται στο Ειρηνοδικείο μέχρι ώρα 15:00΄, εργαζόμενοι εκ περιτροπής, και όπως ειδικότερα η Υπηρεσία το ορίζει.</w:t>
      </w:r>
    </w:p>
    <w:p w:rsidR="00295EE1" w:rsidRDefault="00295EE1" w:rsidP="00295EE1">
      <w:pPr>
        <w:spacing w:after="0" w:line="480" w:lineRule="auto"/>
        <w:ind w:firstLine="540"/>
        <w:jc w:val="both"/>
        <w:rPr>
          <w:rFonts w:ascii="Arial" w:hAnsi="Arial" w:cs="Arial"/>
          <w:sz w:val="24"/>
          <w:szCs w:val="24"/>
        </w:rPr>
      </w:pPr>
      <w:r w:rsidRPr="00ED3EA8">
        <w:rPr>
          <w:rFonts w:ascii="Arial" w:hAnsi="Arial" w:cs="Arial"/>
          <w:sz w:val="24"/>
          <w:szCs w:val="24"/>
        </w:rPr>
        <w:lastRenderedPageBreak/>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295EE1" w:rsidRPr="00010D91" w:rsidRDefault="00295EE1" w:rsidP="00295EE1">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295EE1" w:rsidRDefault="00295EE1" w:rsidP="00295EE1">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295EE1" w:rsidRDefault="00295EE1" w:rsidP="00295EE1">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295EE1" w:rsidRPr="00565B07" w:rsidRDefault="00295EE1" w:rsidP="00295EE1">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295EE1" w:rsidRDefault="00295EE1" w:rsidP="00295EE1">
      <w:pPr>
        <w:spacing w:after="0" w:line="480" w:lineRule="auto"/>
        <w:rPr>
          <w:rFonts w:ascii="Arial" w:hAnsi="Arial" w:cs="Arial"/>
          <w:sz w:val="24"/>
          <w:szCs w:val="24"/>
        </w:rPr>
      </w:pPr>
    </w:p>
    <w:p w:rsidR="00295EE1" w:rsidRDefault="00295EE1" w:rsidP="00295EE1">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295EE1" w:rsidRDefault="00295EE1" w:rsidP="00295EE1">
      <w:pPr>
        <w:spacing w:after="0" w:line="480" w:lineRule="auto"/>
        <w:jc w:val="right"/>
        <w:rPr>
          <w:rFonts w:ascii="Arial" w:hAnsi="Arial" w:cs="Arial"/>
          <w:sz w:val="24"/>
          <w:szCs w:val="24"/>
        </w:rPr>
      </w:pPr>
    </w:p>
    <w:p w:rsidR="00295EE1" w:rsidRDefault="00295EE1" w:rsidP="00295EE1">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295EE1" w:rsidRPr="00E860A6" w:rsidRDefault="00295EE1" w:rsidP="00295EE1">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295EE1" w:rsidRDefault="00295EE1" w:rsidP="00295EE1"/>
    <w:p w:rsidR="00295EE1" w:rsidRDefault="00295EE1" w:rsidP="00295EE1"/>
    <w:p w:rsidR="00BC72AA" w:rsidRDefault="00BC72AA"/>
    <w:sectPr w:rsidR="00BC72AA" w:rsidSect="008A2745">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D61C5A">
        <w:pPr>
          <w:pStyle w:val="a3"/>
          <w:jc w:val="center"/>
        </w:pPr>
        <w:r>
          <w:fldChar w:fldCharType="begin"/>
        </w:r>
        <w:r>
          <w:instrText xml:space="preserve"> PAGE   \* MERGEFORMAT </w:instrText>
        </w:r>
        <w:r>
          <w:fldChar w:fldCharType="separate"/>
        </w:r>
        <w:r>
          <w:rPr>
            <w:noProof/>
          </w:rPr>
          <w:t>8</w:t>
        </w:r>
        <w:r>
          <w:fldChar w:fldCharType="end"/>
        </w:r>
      </w:p>
    </w:sdtContent>
  </w:sdt>
  <w:p w:rsidR="00791246" w:rsidRDefault="00D61C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95EE1"/>
    <w:rsid w:val="00295EE1"/>
    <w:rsid w:val="002C5ABC"/>
    <w:rsid w:val="008E4539"/>
    <w:rsid w:val="00BC72AA"/>
    <w:rsid w:val="00D61C5A"/>
    <w:rsid w:val="00EE489A"/>
    <w:rsid w:val="00F8074C"/>
    <w:rsid w:val="00FF7F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EE1"/>
    <w:pPr>
      <w:tabs>
        <w:tab w:val="center" w:pos="4153"/>
        <w:tab w:val="right" w:pos="8306"/>
      </w:tabs>
      <w:spacing w:after="0" w:line="240" w:lineRule="auto"/>
    </w:pPr>
  </w:style>
  <w:style w:type="character" w:customStyle="1" w:styleId="Char">
    <w:name w:val="Κεφαλίδα Char"/>
    <w:basedOn w:val="a0"/>
    <w:link w:val="a3"/>
    <w:uiPriority w:val="99"/>
    <w:rsid w:val="00295E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1633</Words>
  <Characters>8824</Characters>
  <Application>Microsoft Office Word</Application>
  <DocSecurity>0</DocSecurity>
  <Lines>73</Lines>
  <Paragraphs>20</Paragraphs>
  <ScaleCrop>false</ScaleCrop>
  <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2021-06-07T08:07:00Z</dcterms:created>
  <dcterms:modified xsi:type="dcterms:W3CDTF">2021-06-07T08:12:00Z</dcterms:modified>
</cp:coreProperties>
</file>