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EDE4" w14:textId="46153D49" w:rsidR="009B15B5" w:rsidRDefault="001F60C3" w:rsidP="00911F74">
      <w:pPr>
        <w:jc w:val="center"/>
        <w:rPr>
          <w:rFonts w:asciiTheme="majorHAnsi" w:hAnsiTheme="majorHAnsi"/>
          <w:b/>
        </w:rPr>
      </w:pPr>
      <w:proofErr w:type="spellStart"/>
      <w:proofErr w:type="gramStart"/>
      <w:r w:rsidRPr="00CD45F8">
        <w:rPr>
          <w:rFonts w:asciiTheme="majorHAnsi" w:hAnsiTheme="majorHAnsi"/>
          <w:b/>
        </w:rPr>
        <w:t>myDATA</w:t>
      </w:r>
      <w:proofErr w:type="spellEnd"/>
      <w:proofErr w:type="gramEnd"/>
      <w:r>
        <w:rPr>
          <w:rFonts w:asciiTheme="majorHAnsi" w:hAnsiTheme="majorHAnsi"/>
          <w:b/>
          <w:lang w:val="el-GR"/>
        </w:rPr>
        <w:t xml:space="preserve"> - </w:t>
      </w:r>
      <w:proofErr w:type="spellStart"/>
      <w:r>
        <w:rPr>
          <w:rFonts w:asciiTheme="majorHAnsi" w:hAnsiTheme="majorHAnsi"/>
          <w:b/>
          <w:lang w:val="el-GR"/>
        </w:rPr>
        <w:t>ΣΥΝΟΠΤΙΚΕΣ</w:t>
      </w:r>
      <w:proofErr w:type="spellEnd"/>
      <w:r>
        <w:rPr>
          <w:rFonts w:asciiTheme="majorHAnsi" w:hAnsiTheme="majorHAnsi"/>
          <w:b/>
          <w:lang w:val="el-GR"/>
        </w:rPr>
        <w:t xml:space="preserve"> </w:t>
      </w:r>
      <w:proofErr w:type="spellStart"/>
      <w:r>
        <w:rPr>
          <w:rFonts w:asciiTheme="majorHAnsi" w:hAnsiTheme="majorHAnsi"/>
          <w:b/>
          <w:lang w:val="el-GR"/>
        </w:rPr>
        <w:t>ΟΔΗΓΙΕΣ</w:t>
      </w:r>
      <w:proofErr w:type="spellEnd"/>
      <w:r w:rsidR="001645F5" w:rsidRPr="00CD45F8">
        <w:rPr>
          <w:rFonts w:asciiTheme="majorHAnsi" w:hAnsiTheme="majorHAnsi"/>
          <w:b/>
          <w:lang w:val="el-GR"/>
        </w:rPr>
        <w:t xml:space="preserve"> </w:t>
      </w:r>
      <w:r>
        <w:rPr>
          <w:rFonts w:asciiTheme="majorHAnsi" w:hAnsiTheme="majorHAnsi"/>
          <w:b/>
          <w:lang w:val="el-GR"/>
        </w:rPr>
        <w:t xml:space="preserve">ΓΙΑ </w:t>
      </w:r>
      <w:proofErr w:type="spellStart"/>
      <w:r>
        <w:rPr>
          <w:rFonts w:asciiTheme="majorHAnsi" w:hAnsiTheme="majorHAnsi"/>
          <w:b/>
          <w:lang w:val="el-GR"/>
        </w:rPr>
        <w:t>ΔΙΚΗΓΟΡΟΥΣ</w:t>
      </w:r>
      <w:proofErr w:type="spellEnd"/>
    </w:p>
    <w:p w14:paraId="432A29C1" w14:textId="77777777" w:rsidR="00490BB5" w:rsidRPr="00CD45F8" w:rsidRDefault="00490BB5" w:rsidP="00911F74">
      <w:pPr>
        <w:jc w:val="center"/>
        <w:rPr>
          <w:rFonts w:asciiTheme="majorHAnsi" w:hAnsiTheme="majorHAnsi"/>
          <w:b/>
        </w:rPr>
      </w:pPr>
    </w:p>
    <w:p w14:paraId="02B7F0C1" w14:textId="2440C759" w:rsidR="0030419A" w:rsidRDefault="00490BB5" w:rsidP="00490BB5">
      <w:pPr>
        <w:jc w:val="both"/>
        <w:rPr>
          <w:rFonts w:asciiTheme="majorHAnsi" w:hAnsiTheme="majorHAnsi"/>
          <w:lang w:val="el-GR"/>
        </w:rPr>
      </w:pPr>
      <w:r w:rsidRPr="00A93DCC">
        <w:rPr>
          <w:rFonts w:asciiTheme="majorHAnsi" w:hAnsiTheme="majorHAnsi"/>
          <w:b/>
          <w:lang w:val="el-GR"/>
        </w:rPr>
        <w:t>Κατόπιν</w:t>
      </w:r>
      <w:r w:rsidRPr="00CC095B">
        <w:rPr>
          <w:rFonts w:asciiTheme="majorHAnsi" w:hAnsiTheme="majorHAnsi"/>
          <w:lang w:val="el-GR"/>
        </w:rPr>
        <w:t xml:space="preserve"> πολλών ερωτημάτων που έχουν τεθεί στον Σύλλογο από συναδέλφους σχετικά με την πλατφόρμα υποδοχής δεδομένων </w:t>
      </w:r>
      <w:proofErr w:type="spellStart"/>
      <w:r w:rsidRPr="00CC095B">
        <w:rPr>
          <w:rFonts w:asciiTheme="majorHAnsi" w:hAnsiTheme="majorHAnsi"/>
        </w:rPr>
        <w:t>myDATA</w:t>
      </w:r>
      <w:proofErr w:type="spellEnd"/>
      <w:r w:rsidRPr="00CC095B">
        <w:rPr>
          <w:rFonts w:asciiTheme="majorHAnsi" w:hAnsiTheme="majorHAnsi"/>
        </w:rPr>
        <w:t xml:space="preserve"> </w:t>
      </w:r>
      <w:r w:rsidRPr="00CC095B">
        <w:rPr>
          <w:rFonts w:asciiTheme="majorHAnsi" w:hAnsiTheme="majorHAnsi"/>
          <w:lang w:val="el-GR"/>
        </w:rPr>
        <w:t>(ηλεκτρονικά βιβλία)</w:t>
      </w:r>
      <w:r w:rsidRPr="00CC095B">
        <w:rPr>
          <w:rFonts w:asciiTheme="majorHAnsi" w:hAnsiTheme="majorHAnsi"/>
        </w:rPr>
        <w:t xml:space="preserve"> </w:t>
      </w:r>
      <w:r w:rsidRPr="00CC095B">
        <w:rPr>
          <w:rFonts w:asciiTheme="majorHAnsi" w:hAnsiTheme="majorHAnsi"/>
          <w:lang w:val="el-GR"/>
        </w:rPr>
        <w:t xml:space="preserve">της </w:t>
      </w:r>
      <w:proofErr w:type="spellStart"/>
      <w:r w:rsidRPr="00CC095B">
        <w:rPr>
          <w:rFonts w:asciiTheme="majorHAnsi" w:hAnsiTheme="majorHAnsi"/>
          <w:lang w:val="el-GR"/>
        </w:rPr>
        <w:t>ΑΑΔΕ</w:t>
      </w:r>
      <w:proofErr w:type="spellEnd"/>
      <w:r w:rsidRPr="00CC095B">
        <w:rPr>
          <w:rFonts w:asciiTheme="majorHAnsi" w:hAnsiTheme="majorHAnsi"/>
          <w:lang w:val="el-GR"/>
        </w:rPr>
        <w:t xml:space="preserve"> </w:t>
      </w:r>
      <w:r w:rsidR="00A93DCC">
        <w:rPr>
          <w:rFonts w:asciiTheme="majorHAnsi" w:hAnsiTheme="majorHAnsi"/>
          <w:lang w:val="el-GR"/>
        </w:rPr>
        <w:t xml:space="preserve">και </w:t>
      </w:r>
      <w:r w:rsidRPr="00A93DCC">
        <w:rPr>
          <w:rFonts w:asciiTheme="majorHAnsi" w:hAnsiTheme="majorHAnsi"/>
          <w:b/>
          <w:lang w:val="el-GR"/>
        </w:rPr>
        <w:t>σε συνέχεια</w:t>
      </w:r>
      <w:r w:rsidRPr="00CC095B">
        <w:rPr>
          <w:rFonts w:asciiTheme="majorHAnsi" w:hAnsiTheme="majorHAnsi"/>
          <w:lang w:val="el-GR"/>
        </w:rPr>
        <w:t xml:space="preserve"> της από 21/10/2021 ανακοίνωσης του Συλλόγου</w:t>
      </w:r>
      <w:r w:rsidR="00627633" w:rsidRPr="00CC095B">
        <w:rPr>
          <w:rFonts w:asciiTheme="majorHAnsi" w:hAnsiTheme="majorHAnsi"/>
          <w:lang w:val="el-GR"/>
        </w:rPr>
        <w:t xml:space="preserve"> </w:t>
      </w:r>
      <w:r w:rsidR="005A3287" w:rsidRPr="00CC095B">
        <w:rPr>
          <w:rFonts w:asciiTheme="majorHAnsi" w:hAnsiTheme="majorHAnsi"/>
          <w:lang w:val="el-GR"/>
        </w:rPr>
        <w:t xml:space="preserve">και </w:t>
      </w:r>
      <w:r w:rsidR="004E6B67" w:rsidRPr="00CC095B">
        <w:rPr>
          <w:rFonts w:asciiTheme="majorHAnsi" w:hAnsiTheme="majorHAnsi"/>
          <w:lang w:val="el-GR"/>
        </w:rPr>
        <w:t>του</w:t>
      </w:r>
      <w:r w:rsidR="00627633" w:rsidRPr="00CC095B">
        <w:rPr>
          <w:rFonts w:asciiTheme="majorHAnsi" w:hAnsiTheme="majorHAnsi"/>
          <w:lang w:val="el-GR"/>
        </w:rPr>
        <w:t xml:space="preserve"> συνημμένο</w:t>
      </w:r>
      <w:r w:rsidR="004E6B67" w:rsidRPr="00CC095B">
        <w:rPr>
          <w:rFonts w:asciiTheme="majorHAnsi" w:hAnsiTheme="majorHAnsi"/>
          <w:lang w:val="el-GR"/>
        </w:rPr>
        <w:t>υ σε αυτήν πρακτικού οδηγού</w:t>
      </w:r>
      <w:r w:rsidRPr="00CC095B">
        <w:rPr>
          <w:rFonts w:asciiTheme="majorHAnsi" w:hAnsiTheme="majorHAnsi"/>
          <w:lang w:val="el-GR"/>
        </w:rPr>
        <w:t xml:space="preserve">, </w:t>
      </w:r>
      <w:r w:rsidR="00A93DCC" w:rsidRPr="00A93DCC">
        <w:rPr>
          <w:rFonts w:asciiTheme="majorHAnsi" w:hAnsiTheme="majorHAnsi"/>
          <w:b/>
          <w:lang w:val="el-GR"/>
        </w:rPr>
        <w:t xml:space="preserve">παρέχονται οι </w:t>
      </w:r>
      <w:r w:rsidRPr="00A93DCC">
        <w:rPr>
          <w:rFonts w:asciiTheme="majorHAnsi" w:hAnsiTheme="majorHAnsi"/>
          <w:b/>
          <w:lang w:val="el-GR"/>
        </w:rPr>
        <w:t>κατωτέρω</w:t>
      </w:r>
      <w:r w:rsidR="00A93DCC" w:rsidRPr="00A93DCC">
        <w:rPr>
          <w:rFonts w:asciiTheme="majorHAnsi" w:hAnsiTheme="majorHAnsi"/>
          <w:b/>
          <w:lang w:val="el-GR"/>
        </w:rPr>
        <w:t xml:space="preserve"> διευκρινίσεις προς τον σκοπό </w:t>
      </w:r>
      <w:r w:rsidR="004E6B67" w:rsidRPr="00A93DCC">
        <w:rPr>
          <w:rFonts w:asciiTheme="majorHAnsi" w:hAnsiTheme="majorHAnsi"/>
          <w:b/>
          <w:lang w:val="el-GR"/>
        </w:rPr>
        <w:t>κατανόησης</w:t>
      </w:r>
      <w:r w:rsidRPr="00A93DCC">
        <w:rPr>
          <w:rFonts w:asciiTheme="majorHAnsi" w:hAnsiTheme="majorHAnsi"/>
          <w:b/>
          <w:lang w:val="el-GR"/>
        </w:rPr>
        <w:t xml:space="preserve"> του πλαισίου</w:t>
      </w:r>
      <w:r w:rsidR="005538FC" w:rsidRPr="00A93DCC">
        <w:rPr>
          <w:rFonts w:asciiTheme="majorHAnsi" w:hAnsiTheme="majorHAnsi"/>
          <w:b/>
          <w:lang w:val="el-GR"/>
        </w:rPr>
        <w:t xml:space="preserve"> λειτουργίας της εν λόγω πλατφόρμας</w:t>
      </w:r>
      <w:r w:rsidR="00A93DCC">
        <w:rPr>
          <w:rFonts w:asciiTheme="majorHAnsi" w:hAnsiTheme="majorHAnsi"/>
          <w:lang w:val="el-GR"/>
        </w:rPr>
        <w:t xml:space="preserve"> (με </w:t>
      </w:r>
      <w:r w:rsidR="00D10206">
        <w:rPr>
          <w:rFonts w:asciiTheme="majorHAnsi" w:hAnsiTheme="majorHAnsi"/>
          <w:lang w:val="el-GR"/>
        </w:rPr>
        <w:t>παραπομπές</w:t>
      </w:r>
      <w:r w:rsidR="00A93DCC">
        <w:rPr>
          <w:rFonts w:asciiTheme="majorHAnsi" w:hAnsiTheme="majorHAnsi"/>
          <w:lang w:val="el-GR"/>
        </w:rPr>
        <w:t xml:space="preserve"> σε σχετικά </w:t>
      </w:r>
      <w:r w:rsidR="00A93DCC">
        <w:rPr>
          <w:rFonts w:asciiTheme="majorHAnsi" w:hAnsiTheme="majorHAnsi"/>
        </w:rPr>
        <w:t>link</w:t>
      </w:r>
      <w:r w:rsidR="00A93DCC">
        <w:rPr>
          <w:rFonts w:asciiTheme="majorHAnsi" w:hAnsiTheme="majorHAnsi"/>
          <w:lang w:val="el-GR"/>
        </w:rPr>
        <w:t xml:space="preserve"> και </w:t>
      </w:r>
      <w:r w:rsidR="00D10206">
        <w:rPr>
          <w:rFonts w:asciiTheme="majorHAnsi" w:hAnsiTheme="majorHAnsi"/>
          <w:lang w:val="el-GR"/>
        </w:rPr>
        <w:t xml:space="preserve">χρήση </w:t>
      </w:r>
      <w:r w:rsidR="00A93DCC">
        <w:rPr>
          <w:rFonts w:asciiTheme="majorHAnsi" w:hAnsiTheme="majorHAnsi"/>
          <w:lang w:val="el-GR"/>
        </w:rPr>
        <w:t>βοηθητικών πινάκων).</w:t>
      </w:r>
      <w:r w:rsidRPr="00CC095B">
        <w:rPr>
          <w:rFonts w:asciiTheme="majorHAnsi" w:hAnsiTheme="majorHAnsi"/>
          <w:lang w:val="el-GR"/>
        </w:rPr>
        <w:t xml:space="preserve"> </w:t>
      </w:r>
    </w:p>
    <w:p w14:paraId="2307E198" w14:textId="77777777" w:rsidR="0030419A" w:rsidRDefault="0030419A" w:rsidP="00490BB5">
      <w:pPr>
        <w:jc w:val="both"/>
        <w:rPr>
          <w:rFonts w:asciiTheme="majorHAnsi" w:hAnsiTheme="majorHAnsi"/>
          <w:lang w:val="el-GR"/>
        </w:rPr>
      </w:pPr>
    </w:p>
    <w:p w14:paraId="55144481" w14:textId="27F2A3B9" w:rsidR="00490BB5" w:rsidRPr="0030419A" w:rsidRDefault="0030419A" w:rsidP="00490BB5">
      <w:pPr>
        <w:jc w:val="both"/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</w:rPr>
        <w:t xml:space="preserve">I. </w:t>
      </w:r>
      <w:proofErr w:type="spellStart"/>
      <w:r w:rsidRPr="0030419A">
        <w:rPr>
          <w:rFonts w:asciiTheme="majorHAnsi" w:hAnsiTheme="majorHAnsi"/>
          <w:b/>
          <w:lang w:val="el-GR"/>
        </w:rPr>
        <w:t>ΓΕΝΙΚΕΣ</w:t>
      </w:r>
      <w:proofErr w:type="spellEnd"/>
      <w:r w:rsidRPr="0030419A">
        <w:rPr>
          <w:rFonts w:asciiTheme="majorHAnsi" w:hAnsiTheme="majorHAnsi"/>
          <w:b/>
          <w:lang w:val="el-GR"/>
        </w:rPr>
        <w:t xml:space="preserve"> </w:t>
      </w:r>
      <w:proofErr w:type="spellStart"/>
      <w:r w:rsidRPr="0030419A">
        <w:rPr>
          <w:rFonts w:asciiTheme="majorHAnsi" w:hAnsiTheme="majorHAnsi"/>
          <w:b/>
          <w:lang w:val="el-GR"/>
        </w:rPr>
        <w:t>ΠΑΡΑΤΗΡΗΣΕΙΣ</w:t>
      </w:r>
      <w:proofErr w:type="spellEnd"/>
    </w:p>
    <w:p w14:paraId="53BEBC77" w14:textId="4A71A5D7" w:rsidR="00A815E2" w:rsidRPr="00A93DCC" w:rsidRDefault="00490BB5" w:rsidP="00A93DCC">
      <w:pPr>
        <w:tabs>
          <w:tab w:val="left" w:pos="2120"/>
        </w:tabs>
        <w:jc w:val="both"/>
        <w:rPr>
          <w:rFonts w:asciiTheme="majorHAnsi" w:hAnsiTheme="majorHAnsi"/>
          <w:color w:val="FF0000"/>
          <w:lang w:val="el-GR"/>
        </w:rPr>
      </w:pPr>
      <w:r w:rsidRPr="00133E03">
        <w:rPr>
          <w:rFonts w:asciiTheme="majorHAnsi" w:hAnsiTheme="majorHAnsi"/>
          <w:color w:val="FF0000"/>
          <w:lang w:val="el-GR"/>
        </w:rPr>
        <w:tab/>
      </w:r>
    </w:p>
    <w:p w14:paraId="35BF923C" w14:textId="71D6B95E" w:rsidR="002A092E" w:rsidRPr="00CD45F8" w:rsidRDefault="00A815E2" w:rsidP="00F8207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CD45F8">
        <w:rPr>
          <w:rFonts w:asciiTheme="majorHAnsi" w:hAnsiTheme="majorHAnsi"/>
          <w:lang w:val="el-GR"/>
        </w:rPr>
        <w:t xml:space="preserve">Η διαβίβαση δεδομένων </w:t>
      </w:r>
      <w:r w:rsidR="00B24440" w:rsidRPr="00CD45F8">
        <w:rPr>
          <w:rFonts w:asciiTheme="majorHAnsi" w:hAnsiTheme="majorHAnsi"/>
          <w:lang w:val="el-GR"/>
        </w:rPr>
        <w:t xml:space="preserve">στην ψηφιακή πλατφόρμα </w:t>
      </w:r>
      <w:proofErr w:type="spellStart"/>
      <w:r w:rsidR="005067C6" w:rsidRPr="00CD45F8">
        <w:rPr>
          <w:rFonts w:asciiTheme="majorHAnsi" w:hAnsiTheme="majorHAnsi"/>
        </w:rPr>
        <w:t>myDΑΤΑ</w:t>
      </w:r>
      <w:proofErr w:type="spellEnd"/>
      <w:r w:rsidR="00B24440" w:rsidRPr="00CD45F8">
        <w:rPr>
          <w:rFonts w:asciiTheme="majorHAnsi" w:hAnsiTheme="majorHAnsi"/>
        </w:rPr>
        <w:t xml:space="preserve"> </w:t>
      </w:r>
      <w:r w:rsidR="00B24440" w:rsidRPr="00CD45F8">
        <w:rPr>
          <w:rFonts w:asciiTheme="majorHAnsi" w:hAnsiTheme="majorHAnsi"/>
          <w:lang w:val="el-GR"/>
        </w:rPr>
        <w:t xml:space="preserve">της </w:t>
      </w:r>
      <w:proofErr w:type="spellStart"/>
      <w:r w:rsidR="00B24440" w:rsidRPr="00CD45F8">
        <w:rPr>
          <w:rFonts w:asciiTheme="majorHAnsi" w:hAnsiTheme="majorHAnsi"/>
          <w:lang w:val="el-GR"/>
        </w:rPr>
        <w:t>ΑΑΔΕ</w:t>
      </w:r>
      <w:proofErr w:type="spellEnd"/>
      <w:r w:rsidR="002A092E" w:rsidRPr="00CD45F8">
        <w:rPr>
          <w:rFonts w:asciiTheme="majorHAnsi" w:hAnsiTheme="majorHAnsi"/>
          <w:lang w:val="el-GR"/>
        </w:rPr>
        <w:t>,</w:t>
      </w:r>
      <w:r w:rsidR="00B24440" w:rsidRPr="00CD45F8">
        <w:rPr>
          <w:rFonts w:asciiTheme="majorHAnsi" w:hAnsiTheme="majorHAnsi"/>
          <w:lang w:val="el-GR"/>
        </w:rPr>
        <w:t xml:space="preserve"> κατέστη υποχρεωτική </w:t>
      </w:r>
      <w:r w:rsidRPr="00CD45F8">
        <w:rPr>
          <w:rFonts w:asciiTheme="majorHAnsi" w:hAnsiTheme="majorHAnsi"/>
          <w:lang w:val="el-GR"/>
        </w:rPr>
        <w:t xml:space="preserve">για </w:t>
      </w:r>
      <w:r w:rsidR="00B24440" w:rsidRPr="00CD45F8">
        <w:rPr>
          <w:rFonts w:asciiTheme="majorHAnsi" w:hAnsiTheme="majorHAnsi"/>
          <w:lang w:val="el-GR"/>
        </w:rPr>
        <w:t>όλους του δικηγόρους και τις δικηγορικές εταιρείες</w:t>
      </w:r>
      <w:r w:rsidRPr="00CD45F8">
        <w:rPr>
          <w:rFonts w:asciiTheme="majorHAnsi" w:hAnsiTheme="majorHAnsi"/>
          <w:lang w:val="el-GR"/>
        </w:rPr>
        <w:t xml:space="preserve"> από </w:t>
      </w:r>
      <w:r w:rsidR="00FA0F23" w:rsidRPr="00CD45F8">
        <w:rPr>
          <w:rFonts w:asciiTheme="majorHAnsi" w:hAnsiTheme="majorHAnsi"/>
          <w:lang w:val="el-GR"/>
        </w:rPr>
        <w:t>την</w:t>
      </w:r>
      <w:r w:rsidRPr="00CD45F8">
        <w:rPr>
          <w:rFonts w:asciiTheme="majorHAnsi" w:hAnsiTheme="majorHAnsi"/>
          <w:lang w:val="el-GR"/>
        </w:rPr>
        <w:t xml:space="preserve"> </w:t>
      </w:r>
      <w:r w:rsidR="00B24440" w:rsidRPr="00CD45F8">
        <w:rPr>
          <w:rFonts w:asciiTheme="majorHAnsi" w:hAnsiTheme="majorHAnsi"/>
          <w:lang w:val="el-GR"/>
        </w:rPr>
        <w:t>1.11.2021</w:t>
      </w:r>
      <w:r w:rsidR="000521C6" w:rsidRPr="00CD45F8">
        <w:rPr>
          <w:rFonts w:asciiTheme="majorHAnsi" w:hAnsiTheme="majorHAnsi"/>
          <w:lang w:val="el-GR"/>
        </w:rPr>
        <w:t xml:space="preserve">. Εξαιρετικά </w:t>
      </w:r>
      <w:r w:rsidR="000521C6" w:rsidRPr="00EA5617">
        <w:rPr>
          <w:rFonts w:asciiTheme="majorHAnsi" w:hAnsiTheme="majorHAnsi"/>
          <w:b/>
          <w:lang w:val="el-GR"/>
        </w:rPr>
        <w:t>για το έτος 2021</w:t>
      </w:r>
      <w:r w:rsidR="000521C6" w:rsidRPr="00CD45F8">
        <w:rPr>
          <w:rFonts w:asciiTheme="majorHAnsi" w:hAnsiTheme="majorHAnsi"/>
          <w:lang w:val="el-GR"/>
        </w:rPr>
        <w:t xml:space="preserve"> τα δεδομένα διαβιβάζονται </w:t>
      </w:r>
      <w:r w:rsidR="00184484" w:rsidRPr="00CD45F8">
        <w:rPr>
          <w:rFonts w:asciiTheme="majorHAnsi" w:hAnsiTheme="majorHAnsi"/>
          <w:lang w:val="el-GR"/>
        </w:rPr>
        <w:t>εντός ειδικών προθεσμιών</w:t>
      </w:r>
      <w:r w:rsidR="00B2177C" w:rsidRPr="00CD45F8">
        <w:rPr>
          <w:rFonts w:asciiTheme="majorHAnsi" w:hAnsiTheme="majorHAnsi"/>
          <w:lang w:val="el-GR"/>
        </w:rPr>
        <w:t xml:space="preserve"> (</w:t>
      </w:r>
      <w:proofErr w:type="spellStart"/>
      <w:r w:rsidR="00B2177C" w:rsidRPr="00CD45F8">
        <w:rPr>
          <w:rFonts w:asciiTheme="majorHAnsi" w:hAnsiTheme="majorHAnsi"/>
          <w:lang w:val="el-GR"/>
        </w:rPr>
        <w:t>βλ</w:t>
      </w:r>
      <w:proofErr w:type="spellEnd"/>
      <w:r w:rsidR="00B2177C" w:rsidRPr="00CD45F8">
        <w:rPr>
          <w:rFonts w:asciiTheme="majorHAnsi" w:hAnsiTheme="majorHAnsi"/>
          <w:lang w:val="el-GR"/>
        </w:rPr>
        <w:t xml:space="preserve">. πίνακα </w:t>
      </w:r>
      <w:r w:rsidR="00EA5617">
        <w:rPr>
          <w:rFonts w:asciiTheme="majorHAnsi" w:hAnsiTheme="majorHAnsi"/>
          <w:lang w:val="el-GR"/>
        </w:rPr>
        <w:t xml:space="preserve">4 </w:t>
      </w:r>
      <w:r w:rsidR="00B2177C" w:rsidRPr="00CD45F8">
        <w:rPr>
          <w:rFonts w:asciiTheme="majorHAnsi" w:hAnsiTheme="majorHAnsi"/>
          <w:lang w:val="el-GR"/>
        </w:rPr>
        <w:t>κατωτέρω)</w:t>
      </w:r>
      <w:r w:rsidR="00B24440" w:rsidRPr="00CD45F8">
        <w:rPr>
          <w:rFonts w:asciiTheme="majorHAnsi" w:hAnsiTheme="majorHAnsi"/>
          <w:lang w:val="el-GR"/>
        </w:rPr>
        <w:t xml:space="preserve">, </w:t>
      </w:r>
      <w:r w:rsidR="002A092E" w:rsidRPr="00CD45F8">
        <w:rPr>
          <w:rFonts w:asciiTheme="majorHAnsi" w:hAnsiTheme="majorHAnsi"/>
          <w:lang w:val="el-GR"/>
        </w:rPr>
        <w:t xml:space="preserve">ωστόσο </w:t>
      </w:r>
      <w:r w:rsidR="00EA5617">
        <w:rPr>
          <w:rFonts w:asciiTheme="majorHAnsi" w:hAnsiTheme="majorHAnsi"/>
          <w:lang w:val="el-GR"/>
        </w:rPr>
        <w:t>δεν</w:t>
      </w:r>
      <w:r w:rsidR="00B24440" w:rsidRPr="00CD45F8">
        <w:rPr>
          <w:rFonts w:asciiTheme="majorHAnsi" w:hAnsiTheme="majorHAnsi"/>
          <w:lang w:val="el-GR"/>
        </w:rPr>
        <w:t xml:space="preserve"> προβλέπονται διοικητικά πρόστιμα και κυρώσεις σε περίπτωση εκπρόθεσμης διαβίβασης των απαιτούμενων </w:t>
      </w:r>
      <w:r w:rsidR="002A092E" w:rsidRPr="00CD45F8">
        <w:rPr>
          <w:rFonts w:asciiTheme="majorHAnsi" w:hAnsiTheme="majorHAnsi"/>
          <w:lang w:val="el-GR"/>
        </w:rPr>
        <w:t>στοιχείων</w:t>
      </w:r>
      <w:r w:rsidR="00FA0F23" w:rsidRPr="00CD45F8">
        <w:rPr>
          <w:rFonts w:asciiTheme="majorHAnsi" w:hAnsiTheme="majorHAnsi"/>
          <w:lang w:val="el-GR"/>
        </w:rPr>
        <w:t xml:space="preserve"> για το εν λόγω έτος</w:t>
      </w:r>
      <w:r w:rsidR="00B24440" w:rsidRPr="00CD45F8">
        <w:rPr>
          <w:rFonts w:asciiTheme="majorHAnsi" w:hAnsiTheme="majorHAnsi"/>
          <w:lang w:val="el-GR"/>
        </w:rPr>
        <w:t>.</w:t>
      </w:r>
    </w:p>
    <w:p w14:paraId="679BFBDD" w14:textId="2E6FDDD7" w:rsidR="000A1678" w:rsidRDefault="00A815E2" w:rsidP="00F8207D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ÄË–·˛"/>
          <w:lang w:val="el-GR"/>
        </w:rPr>
      </w:pPr>
      <w:r w:rsidRPr="00CD45F8">
        <w:rPr>
          <w:rFonts w:asciiTheme="majorHAnsi" w:hAnsiTheme="majorHAnsi"/>
          <w:lang w:val="el-GR"/>
        </w:rPr>
        <w:t xml:space="preserve">Από </w:t>
      </w:r>
      <w:r w:rsidRPr="00EA5617">
        <w:rPr>
          <w:rFonts w:asciiTheme="majorHAnsi" w:hAnsiTheme="majorHAnsi"/>
          <w:b/>
          <w:lang w:val="el-GR"/>
        </w:rPr>
        <w:t>1/1/2022</w:t>
      </w:r>
      <w:r w:rsidRPr="00CD45F8">
        <w:rPr>
          <w:rFonts w:asciiTheme="majorHAnsi" w:hAnsiTheme="majorHAnsi"/>
          <w:lang w:val="el-GR"/>
        </w:rPr>
        <w:t xml:space="preserve"> και εφεξής </w:t>
      </w:r>
      <w:r w:rsidR="000521C6" w:rsidRPr="00CD45F8">
        <w:rPr>
          <w:rFonts w:asciiTheme="majorHAnsi" w:hAnsiTheme="majorHAnsi"/>
          <w:lang w:val="el-GR"/>
        </w:rPr>
        <w:t>τα απαιτούμενα δεδο</w:t>
      </w:r>
      <w:r w:rsidR="005973A2" w:rsidRPr="00CD45F8">
        <w:rPr>
          <w:rFonts w:asciiTheme="majorHAnsi" w:hAnsiTheme="majorHAnsi"/>
          <w:lang w:val="el-GR"/>
        </w:rPr>
        <w:t>μένα διαβιβάζονται σύμφωνα με τα οριζόμενα στο</w:t>
      </w:r>
      <w:r w:rsidR="000521C6" w:rsidRPr="00CD45F8">
        <w:rPr>
          <w:rFonts w:asciiTheme="majorHAnsi" w:hAnsiTheme="majorHAnsi"/>
          <w:lang w:val="el-GR"/>
        </w:rPr>
        <w:t xml:space="preserve"> άρθ</w:t>
      </w:r>
      <w:r w:rsidR="000A1678" w:rsidRPr="00CD45F8">
        <w:rPr>
          <w:rFonts w:asciiTheme="majorHAnsi" w:hAnsiTheme="majorHAnsi"/>
          <w:lang w:val="el-GR"/>
        </w:rPr>
        <w:t>ρ</w:t>
      </w:r>
      <w:r w:rsidR="005973A2" w:rsidRPr="00CD45F8">
        <w:rPr>
          <w:rFonts w:asciiTheme="majorHAnsi" w:hAnsiTheme="majorHAnsi"/>
          <w:lang w:val="el-GR"/>
        </w:rPr>
        <w:t>ο</w:t>
      </w:r>
      <w:r w:rsidR="000521C6" w:rsidRPr="00CD45F8">
        <w:rPr>
          <w:rFonts w:asciiTheme="majorHAnsi" w:hAnsiTheme="majorHAnsi"/>
          <w:lang w:val="el-GR"/>
        </w:rPr>
        <w:t xml:space="preserve"> </w:t>
      </w:r>
      <w:proofErr w:type="spellStart"/>
      <w:r w:rsidR="000A1678" w:rsidRPr="00CD45F8">
        <w:rPr>
          <w:rFonts w:asciiTheme="majorHAnsi" w:hAnsiTheme="majorHAnsi"/>
          <w:lang w:val="el-GR"/>
        </w:rPr>
        <w:t>15Α</w:t>
      </w:r>
      <w:proofErr w:type="spellEnd"/>
      <w:r w:rsidR="000A1678" w:rsidRPr="00CD45F8">
        <w:rPr>
          <w:rFonts w:asciiTheme="majorHAnsi" w:hAnsiTheme="majorHAnsi"/>
          <w:lang w:val="el-GR"/>
        </w:rPr>
        <w:t xml:space="preserve"> του Ν.</w:t>
      </w:r>
      <w:r w:rsidR="00D10571" w:rsidRPr="00CD45F8">
        <w:rPr>
          <w:rFonts w:asciiTheme="majorHAnsi" w:hAnsiTheme="majorHAnsi"/>
          <w:lang w:val="el-GR"/>
        </w:rPr>
        <w:t xml:space="preserve"> </w:t>
      </w:r>
      <w:r w:rsidR="0037439D" w:rsidRPr="00CD45F8">
        <w:rPr>
          <w:rFonts w:asciiTheme="majorHAnsi" w:hAnsiTheme="majorHAnsi"/>
          <w:lang w:val="el-GR"/>
        </w:rPr>
        <w:t xml:space="preserve">4174/2013 </w:t>
      </w:r>
      <w:r w:rsidR="00FB404D" w:rsidRPr="00CD45F8">
        <w:rPr>
          <w:rFonts w:asciiTheme="majorHAnsi" w:hAnsiTheme="majorHAnsi"/>
          <w:lang w:val="el-GR"/>
        </w:rPr>
        <w:t xml:space="preserve">(Κώδικα Φορολογικής Διαδικασίας) </w:t>
      </w:r>
      <w:r w:rsidR="0037439D" w:rsidRPr="00CD45F8">
        <w:rPr>
          <w:rFonts w:asciiTheme="majorHAnsi" w:hAnsiTheme="majorHAnsi"/>
          <w:lang w:val="el-GR"/>
        </w:rPr>
        <w:t>και την Α</w:t>
      </w:r>
      <w:r w:rsidR="005973A2" w:rsidRPr="00CD45F8">
        <w:rPr>
          <w:rFonts w:asciiTheme="majorHAnsi" w:hAnsiTheme="majorHAnsi"/>
          <w:lang w:val="el-GR"/>
        </w:rPr>
        <w:t>πόφαση</w:t>
      </w:r>
      <w:r w:rsidR="000A1678" w:rsidRPr="00CD45F8">
        <w:rPr>
          <w:rFonts w:asciiTheme="majorHAnsi" w:hAnsiTheme="majorHAnsi"/>
          <w:lang w:val="el-GR"/>
        </w:rPr>
        <w:t xml:space="preserve"> </w:t>
      </w:r>
      <w:r w:rsidR="000A1678" w:rsidRPr="00CD45F8">
        <w:rPr>
          <w:rFonts w:asciiTheme="majorHAnsi" w:hAnsiTheme="majorHAnsi" w:cs="ÄË–·˛"/>
          <w:lang w:val="el-GR"/>
        </w:rPr>
        <w:t xml:space="preserve">του Διοικητή της </w:t>
      </w:r>
      <w:proofErr w:type="spellStart"/>
      <w:r w:rsidR="000A1678" w:rsidRPr="00CD45F8">
        <w:rPr>
          <w:rFonts w:asciiTheme="majorHAnsi" w:hAnsiTheme="majorHAnsi" w:cs="ÄË–·˛"/>
          <w:lang w:val="el-GR"/>
        </w:rPr>
        <w:t>Α.Α.Δ.Ε</w:t>
      </w:r>
      <w:proofErr w:type="spellEnd"/>
      <w:r w:rsidR="000A1678" w:rsidRPr="00CD45F8">
        <w:rPr>
          <w:rFonts w:asciiTheme="majorHAnsi" w:hAnsiTheme="majorHAnsi" w:cs="ÄË–·˛"/>
          <w:lang w:val="el-GR"/>
        </w:rPr>
        <w:t xml:space="preserve">. </w:t>
      </w:r>
      <w:proofErr w:type="spellStart"/>
      <w:r w:rsidR="0037439D" w:rsidRPr="00CD45F8">
        <w:rPr>
          <w:rFonts w:asciiTheme="majorHAnsi" w:hAnsiTheme="majorHAnsi" w:cs="ÄË–·˛"/>
          <w:lang w:val="el-GR"/>
        </w:rPr>
        <w:t>Α.1138</w:t>
      </w:r>
      <w:proofErr w:type="spellEnd"/>
      <w:r w:rsidR="0037439D" w:rsidRPr="00CD45F8">
        <w:rPr>
          <w:rFonts w:asciiTheme="majorHAnsi" w:hAnsiTheme="majorHAnsi" w:cs="ÄË–·˛"/>
          <w:lang w:val="el-GR"/>
        </w:rPr>
        <w:t xml:space="preserve">/2020, </w:t>
      </w:r>
      <w:r w:rsidR="000A1678" w:rsidRPr="00CD45F8">
        <w:rPr>
          <w:rFonts w:asciiTheme="majorHAnsi" w:hAnsiTheme="majorHAnsi" w:cs="ÄË–·˛"/>
          <w:lang w:val="el-GR"/>
        </w:rPr>
        <w:t xml:space="preserve">όπως </w:t>
      </w:r>
      <w:r w:rsidR="002B449D" w:rsidRPr="00CD45F8">
        <w:rPr>
          <w:rFonts w:asciiTheme="majorHAnsi" w:hAnsiTheme="majorHAnsi" w:cs="ÄË–·˛"/>
          <w:lang w:val="el-GR"/>
        </w:rPr>
        <w:t xml:space="preserve">αυτή </w:t>
      </w:r>
      <w:r w:rsidR="000A1678" w:rsidRPr="00CD45F8">
        <w:rPr>
          <w:rFonts w:asciiTheme="majorHAnsi" w:hAnsiTheme="majorHAnsi" w:cs="ÄË–·˛"/>
          <w:lang w:val="el-GR"/>
        </w:rPr>
        <w:t>έχει τροποποιηθεί και ισχύει.</w:t>
      </w:r>
      <w:r w:rsidR="008347E0" w:rsidRPr="00CD45F8">
        <w:rPr>
          <w:rFonts w:asciiTheme="majorHAnsi" w:hAnsiTheme="majorHAnsi" w:cs="ÄË–·˛"/>
          <w:lang w:val="el-GR"/>
        </w:rPr>
        <w:t xml:space="preserve"> </w:t>
      </w:r>
      <w:r w:rsidR="002B095F" w:rsidRPr="00EA5617">
        <w:rPr>
          <w:rFonts w:asciiTheme="majorHAnsi" w:hAnsiTheme="majorHAnsi"/>
          <w:b/>
          <w:lang w:val="el-GR"/>
        </w:rPr>
        <w:t>Εφεξής</w:t>
      </w:r>
      <w:r w:rsidR="002B095F" w:rsidRPr="00EA5617">
        <w:rPr>
          <w:rFonts w:asciiTheme="majorHAnsi" w:hAnsiTheme="majorHAnsi" w:cs="ÄË–·˛"/>
          <w:b/>
          <w:lang w:val="el-GR"/>
        </w:rPr>
        <w:t xml:space="preserve"> </w:t>
      </w:r>
      <w:r w:rsidR="008347E0" w:rsidRPr="00EA5617">
        <w:rPr>
          <w:rFonts w:asciiTheme="majorHAnsi" w:hAnsiTheme="majorHAnsi" w:cs="ÄË–·˛"/>
          <w:b/>
          <w:lang w:val="el-GR"/>
        </w:rPr>
        <w:t xml:space="preserve">αναμένεται να επιβληθούν </w:t>
      </w:r>
      <w:r w:rsidR="00757321" w:rsidRPr="00EA5617">
        <w:rPr>
          <w:rFonts w:asciiTheme="majorHAnsi" w:hAnsiTheme="majorHAnsi" w:cs="ÄË–·˛"/>
          <w:b/>
          <w:lang w:val="el-GR"/>
        </w:rPr>
        <w:t>διοικητικά πρόστιμα/κυρώσεις</w:t>
      </w:r>
      <w:r w:rsidR="008347E0" w:rsidRPr="00EA5617">
        <w:rPr>
          <w:rFonts w:asciiTheme="majorHAnsi" w:hAnsiTheme="majorHAnsi" w:cs="ÄË–·˛"/>
          <w:b/>
          <w:lang w:val="el-GR"/>
        </w:rPr>
        <w:t xml:space="preserve"> σε περίπτωση μη συμμόρφωσης</w:t>
      </w:r>
      <w:r w:rsidR="008347E0" w:rsidRPr="00CD45F8">
        <w:rPr>
          <w:rFonts w:asciiTheme="majorHAnsi" w:hAnsiTheme="majorHAnsi" w:cs="ÄË–·˛"/>
          <w:lang w:val="el-GR"/>
        </w:rPr>
        <w:t>.</w:t>
      </w:r>
    </w:p>
    <w:p w14:paraId="0956E2AF" w14:textId="26AB16E6" w:rsidR="002E3CA7" w:rsidRPr="002E3CA7" w:rsidRDefault="002E3CA7" w:rsidP="002E3CA7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ÄË–·˛"/>
          <w:lang w:val="en-GB"/>
        </w:rPr>
      </w:pPr>
      <w:r>
        <w:rPr>
          <w:rFonts w:asciiTheme="majorHAnsi" w:hAnsiTheme="majorHAnsi" w:cs="ÄË–·˛"/>
          <w:lang w:val="el-GR"/>
        </w:rPr>
        <w:t>Στα ηλεκτρονικά βιβλία (</w:t>
      </w:r>
      <w:proofErr w:type="spellStart"/>
      <w:r>
        <w:rPr>
          <w:rFonts w:asciiTheme="majorHAnsi" w:hAnsiTheme="majorHAnsi" w:cs="ÄË–·˛"/>
        </w:rPr>
        <w:t>myDATA</w:t>
      </w:r>
      <w:proofErr w:type="spellEnd"/>
      <w:r>
        <w:rPr>
          <w:rFonts w:asciiTheme="majorHAnsi" w:hAnsiTheme="majorHAnsi" w:cs="ÄË–·˛"/>
        </w:rPr>
        <w:t xml:space="preserve">) </w:t>
      </w:r>
      <w:proofErr w:type="spellStart"/>
      <w:r>
        <w:rPr>
          <w:rFonts w:asciiTheme="majorHAnsi" w:hAnsiTheme="majorHAnsi" w:cs="ÄË–·˛"/>
        </w:rPr>
        <w:t>της</w:t>
      </w:r>
      <w:proofErr w:type="spellEnd"/>
      <w:r>
        <w:rPr>
          <w:rFonts w:asciiTheme="majorHAnsi" w:hAnsiTheme="majorHAnsi" w:cs="ÄË–·˛"/>
        </w:rPr>
        <w:t xml:space="preserve"> </w:t>
      </w:r>
      <w:proofErr w:type="spellStart"/>
      <w:r>
        <w:rPr>
          <w:rFonts w:asciiTheme="majorHAnsi" w:hAnsiTheme="majorHAnsi" w:cs="ÄË–·˛"/>
        </w:rPr>
        <w:t>ΑΑΔΕ</w:t>
      </w:r>
      <w:proofErr w:type="spellEnd"/>
      <w:r>
        <w:rPr>
          <w:rFonts w:asciiTheme="majorHAnsi" w:hAnsiTheme="majorHAnsi" w:cs="ÄË–·˛"/>
        </w:rPr>
        <w:t xml:space="preserve"> </w:t>
      </w:r>
      <w:r w:rsidR="00D56EF4">
        <w:rPr>
          <w:rFonts w:asciiTheme="majorHAnsi" w:hAnsiTheme="majorHAnsi" w:cs="ÄË–·˛"/>
          <w:lang w:val="el-GR"/>
        </w:rPr>
        <w:t>διαβιβάζεται και καταχωρίζετ</w:t>
      </w:r>
      <w:r>
        <w:rPr>
          <w:rFonts w:asciiTheme="majorHAnsi" w:hAnsiTheme="majorHAnsi" w:cs="ÄË–·˛"/>
          <w:lang w:val="el-GR"/>
        </w:rPr>
        <w:t xml:space="preserve">αι η σύνοψη των παραστατικών </w:t>
      </w:r>
      <w:r w:rsidRPr="002E3CA7">
        <w:rPr>
          <w:rFonts w:asciiTheme="majorHAnsi" w:hAnsiTheme="majorHAnsi" w:cs="ÄË–·˛"/>
          <w:lang w:val="el-GR"/>
        </w:rPr>
        <w:t xml:space="preserve">εσόδων/εξόδων, γίνεται χαρακτηρισμός των </w:t>
      </w:r>
      <w:proofErr w:type="spellStart"/>
      <w:r w:rsidRPr="002E3CA7">
        <w:rPr>
          <w:rFonts w:asciiTheme="majorHAnsi" w:hAnsiTheme="majorHAnsi" w:cs="ÄË–·˛"/>
          <w:lang w:val="el-GR"/>
        </w:rPr>
        <w:t>καταχωριζομένων</w:t>
      </w:r>
      <w:proofErr w:type="spellEnd"/>
      <w:r w:rsidRPr="002E3CA7">
        <w:rPr>
          <w:rFonts w:asciiTheme="majorHAnsi" w:hAnsiTheme="majorHAnsi" w:cs="ÄË–·˛"/>
          <w:lang w:val="el-GR"/>
        </w:rPr>
        <w:t xml:space="preserve"> συναλλαγών και δ</w:t>
      </w:r>
      <w:r>
        <w:rPr>
          <w:rFonts w:asciiTheme="majorHAnsi" w:hAnsiTheme="majorHAnsi" w:cs="ÄË–·˛"/>
          <w:lang w:val="el-GR"/>
        </w:rPr>
        <w:t>ιενεργούνται  οι αναγκαίες λογιστικές εγγραφές τ</w:t>
      </w:r>
      <w:r w:rsidRPr="002E3CA7">
        <w:rPr>
          <w:rFonts w:asciiTheme="majorHAnsi" w:hAnsiTheme="majorHAnsi" w:cs="ÄË–·˛"/>
          <w:lang w:val="el-GR"/>
        </w:rPr>
        <w:t xml:space="preserve">ακτοποίησης για </w:t>
      </w:r>
      <w:r>
        <w:rPr>
          <w:rFonts w:asciiTheme="majorHAnsi" w:hAnsiTheme="majorHAnsi" w:cs="ÄË–·˛"/>
          <w:lang w:val="el-GR"/>
        </w:rPr>
        <w:t>τον προσδιορισμό του λογιστικού/</w:t>
      </w:r>
      <w:r w:rsidRPr="002E3CA7">
        <w:rPr>
          <w:rFonts w:asciiTheme="majorHAnsi" w:hAnsiTheme="majorHAnsi" w:cs="ÄË–·˛"/>
          <w:lang w:val="el-GR"/>
        </w:rPr>
        <w:t>φορολογικού αποτελέσματος κάθε έτους.</w:t>
      </w:r>
    </w:p>
    <w:p w14:paraId="3EDB0DF0" w14:textId="5918C8A4" w:rsidR="000A1678" w:rsidRPr="00CD45F8" w:rsidRDefault="00F963B7" w:rsidP="00F8207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lang w:val="el-GR"/>
        </w:rPr>
      </w:pPr>
      <w:r w:rsidRPr="00CD45F8">
        <w:rPr>
          <w:rFonts w:asciiTheme="majorHAnsi" w:hAnsiTheme="majorHAnsi"/>
          <w:lang w:val="el-GR"/>
        </w:rPr>
        <w:t>Ω</w:t>
      </w:r>
      <w:r w:rsidR="000A1678" w:rsidRPr="00CD45F8">
        <w:rPr>
          <w:rFonts w:asciiTheme="majorHAnsi" w:hAnsiTheme="majorHAnsi"/>
          <w:lang w:val="el-GR"/>
        </w:rPr>
        <w:t xml:space="preserve">ς προς τον </w:t>
      </w:r>
      <w:r w:rsidR="000A1678" w:rsidRPr="00EA5617">
        <w:rPr>
          <w:rFonts w:asciiTheme="majorHAnsi" w:hAnsiTheme="majorHAnsi"/>
          <w:b/>
          <w:lang w:val="el-GR"/>
        </w:rPr>
        <w:t xml:space="preserve">τρόπο και την διαδικασία </w:t>
      </w:r>
      <w:r w:rsidRPr="00EA5617">
        <w:rPr>
          <w:rFonts w:asciiTheme="majorHAnsi" w:hAnsiTheme="majorHAnsi"/>
          <w:b/>
          <w:lang w:val="el-GR"/>
        </w:rPr>
        <w:t>διαβίβασης</w:t>
      </w:r>
      <w:r w:rsidR="00294DDF" w:rsidRPr="00EA5617">
        <w:rPr>
          <w:rFonts w:asciiTheme="majorHAnsi" w:hAnsiTheme="majorHAnsi"/>
          <w:b/>
          <w:lang w:val="el-GR"/>
        </w:rPr>
        <w:t xml:space="preserve"> των</w:t>
      </w:r>
      <w:r w:rsidR="00F55E4A" w:rsidRPr="00EA5617">
        <w:rPr>
          <w:rFonts w:asciiTheme="majorHAnsi" w:hAnsiTheme="majorHAnsi"/>
          <w:b/>
          <w:lang w:val="el-GR"/>
        </w:rPr>
        <w:t xml:space="preserve"> στοιχείων</w:t>
      </w:r>
      <w:r w:rsidRPr="00CD45F8">
        <w:rPr>
          <w:rFonts w:asciiTheme="majorHAnsi" w:hAnsiTheme="majorHAnsi"/>
          <w:lang w:val="el-GR"/>
        </w:rPr>
        <w:t xml:space="preserve">, </w:t>
      </w:r>
      <w:r w:rsidR="00FA3461">
        <w:rPr>
          <w:rFonts w:asciiTheme="majorHAnsi" w:hAnsiTheme="majorHAnsi"/>
          <w:lang w:val="el-GR"/>
        </w:rPr>
        <w:t>δύναται</w:t>
      </w:r>
      <w:r w:rsidR="000A1678" w:rsidRPr="00CD45F8">
        <w:rPr>
          <w:rFonts w:asciiTheme="majorHAnsi" w:hAnsiTheme="majorHAnsi"/>
          <w:lang w:val="el-GR"/>
        </w:rPr>
        <w:t xml:space="preserve"> να δι</w:t>
      </w:r>
      <w:r w:rsidRPr="00CD45F8">
        <w:rPr>
          <w:rFonts w:asciiTheme="majorHAnsi" w:hAnsiTheme="majorHAnsi"/>
          <w:lang w:val="el-GR"/>
        </w:rPr>
        <w:t xml:space="preserve">εξαχθεί με </w:t>
      </w:r>
      <w:r w:rsidR="000A1678" w:rsidRPr="00CD45F8">
        <w:rPr>
          <w:rFonts w:asciiTheme="majorHAnsi" w:hAnsiTheme="majorHAnsi"/>
          <w:lang w:val="el-GR"/>
        </w:rPr>
        <w:t>τους κατωτέρω τρόπους</w:t>
      </w:r>
      <w:r w:rsidR="004A424D">
        <w:rPr>
          <w:rFonts w:asciiTheme="majorHAnsi" w:hAnsiTheme="majorHAnsi"/>
          <w:lang w:val="el-GR"/>
        </w:rPr>
        <w:t xml:space="preserve"> (επιλογές διαβίβασης)</w:t>
      </w:r>
      <w:r w:rsidR="000A1678" w:rsidRPr="00CD45F8">
        <w:rPr>
          <w:rFonts w:asciiTheme="majorHAnsi" w:hAnsiTheme="majorHAnsi"/>
          <w:lang w:val="el-GR"/>
        </w:rPr>
        <w:t xml:space="preserve">: </w:t>
      </w:r>
    </w:p>
    <w:p w14:paraId="0A1794C4" w14:textId="5A9EAEEA" w:rsidR="00D6150F" w:rsidRPr="00320CA3" w:rsidRDefault="00CF7BEA" w:rsidP="00320CA3">
      <w:pPr>
        <w:pStyle w:val="ListParagraph"/>
        <w:numPr>
          <w:ilvl w:val="0"/>
          <w:numId w:val="27"/>
        </w:numPr>
        <w:jc w:val="both"/>
        <w:rPr>
          <w:rFonts w:asciiTheme="majorHAnsi" w:hAnsiTheme="majorHAnsi" w:cs="ÄË–·˛"/>
          <w:lang w:val="el-GR"/>
        </w:rPr>
      </w:pPr>
      <w:r w:rsidRPr="00320CA3">
        <w:rPr>
          <w:rFonts w:asciiTheme="majorHAnsi" w:hAnsiTheme="majorHAnsi"/>
          <w:lang w:val="el-GR"/>
        </w:rPr>
        <w:t xml:space="preserve">μέσω </w:t>
      </w:r>
      <w:proofErr w:type="spellStart"/>
      <w:r w:rsidR="00294DDF" w:rsidRPr="00320CA3">
        <w:rPr>
          <w:rFonts w:asciiTheme="majorHAnsi" w:hAnsiTheme="majorHAnsi" w:cs="ÄË–·˛"/>
          <w:b/>
          <w:lang w:val="el-GR"/>
        </w:rPr>
        <w:t>Παρόχου</w:t>
      </w:r>
      <w:proofErr w:type="spellEnd"/>
      <w:r w:rsidRPr="00320CA3">
        <w:rPr>
          <w:rFonts w:asciiTheme="majorHAnsi" w:hAnsiTheme="majorHAnsi" w:cs="ÄË–·˛"/>
          <w:b/>
          <w:lang w:val="el-GR"/>
        </w:rPr>
        <w:t xml:space="preserve"> Υπηρεσιών Ηλεκτρονικής Τιμολόγησης</w:t>
      </w:r>
      <w:r w:rsidR="001F40B3" w:rsidRPr="00320CA3">
        <w:rPr>
          <w:rFonts w:asciiTheme="majorHAnsi" w:hAnsiTheme="majorHAnsi" w:cs="ÄË–·˛"/>
          <w:b/>
          <w:lang w:val="el-GR"/>
        </w:rPr>
        <w:t>,</w:t>
      </w:r>
      <w:r w:rsidR="00B97775" w:rsidRPr="00320CA3">
        <w:rPr>
          <w:rFonts w:asciiTheme="majorHAnsi" w:hAnsiTheme="majorHAnsi" w:cs="ÄË–·˛"/>
          <w:b/>
          <w:lang w:val="el-GR"/>
        </w:rPr>
        <w:t xml:space="preserve"> </w:t>
      </w:r>
      <w:r w:rsidR="00B97775" w:rsidRPr="00320CA3">
        <w:rPr>
          <w:rFonts w:asciiTheme="majorHAnsi" w:hAnsiTheme="majorHAnsi" w:cs="ÄË–·˛"/>
          <w:lang w:val="el-GR"/>
        </w:rPr>
        <w:t xml:space="preserve">δηλαδή </w:t>
      </w:r>
      <w:r w:rsidR="00BD1F07" w:rsidRPr="00320CA3">
        <w:rPr>
          <w:rFonts w:asciiTheme="majorHAnsi" w:hAnsiTheme="majorHAnsi" w:cs="ÄË–·˛"/>
          <w:lang w:val="el-GR"/>
        </w:rPr>
        <w:t xml:space="preserve">μέσω οντότητας η οποία κατόπιν εντολής, διαβιβάζει με τη χρήση ηλεκτρονικών μέσων και σύμφωνα με την ισχύουσα νομοθεσία, παραστατικά πωλήσεων για λογαριασμό του </w:t>
      </w:r>
      <w:proofErr w:type="spellStart"/>
      <w:r w:rsidR="00BD1F07" w:rsidRPr="00320CA3">
        <w:rPr>
          <w:rFonts w:asciiTheme="majorHAnsi" w:hAnsiTheme="majorHAnsi" w:cs="ÄË–·˛"/>
          <w:lang w:val="el-GR"/>
        </w:rPr>
        <w:t>υποχρέου</w:t>
      </w:r>
      <w:proofErr w:type="spellEnd"/>
      <w:r w:rsidR="00320CA3" w:rsidRPr="00320CA3">
        <w:rPr>
          <w:rFonts w:asciiTheme="majorHAnsi" w:hAnsiTheme="majorHAnsi" w:cs="ÄË–·˛"/>
          <w:lang w:val="el-GR"/>
        </w:rPr>
        <w:t xml:space="preserve">. </w:t>
      </w:r>
    </w:p>
    <w:p w14:paraId="319E1065" w14:textId="6D51DB87" w:rsidR="00320CA3" w:rsidRDefault="00320CA3" w:rsidP="00D36B3B">
      <w:pPr>
        <w:pStyle w:val="ListParagraph"/>
        <w:ind w:left="1276"/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>Σε</w:t>
      </w:r>
      <w:r w:rsidRPr="00320CA3">
        <w:rPr>
          <w:rFonts w:asciiTheme="majorHAnsi" w:hAnsiTheme="majorHAnsi" w:cs="ÄË–·˛"/>
          <w:lang w:val="el-GR"/>
        </w:rPr>
        <w:t xml:space="preserve"> περίπτωση επιλογής αυτού του τρόπου διαβίβασης, δεν επιτρέπεται τα δεδομένα των τιμολογίων να διαβιβάζονται με άλλο τρόπο</w:t>
      </w:r>
      <w:r>
        <w:rPr>
          <w:rFonts w:asciiTheme="majorHAnsi" w:hAnsiTheme="majorHAnsi" w:cs="ÄË–·˛"/>
          <w:lang w:val="el-GR"/>
        </w:rPr>
        <w:t>.</w:t>
      </w:r>
      <w:r w:rsidRPr="00CD45F8">
        <w:rPr>
          <w:rFonts w:asciiTheme="majorHAnsi" w:hAnsiTheme="majorHAnsi" w:cs="ÄË–·˛"/>
          <w:lang w:val="el-GR"/>
        </w:rPr>
        <w:t xml:space="preserve"> </w:t>
      </w:r>
    </w:p>
    <w:p w14:paraId="6B6AC9C2" w14:textId="17E7B0A9" w:rsidR="00D36B3B" w:rsidRDefault="002B095F" w:rsidP="00D36B3B">
      <w:pPr>
        <w:pStyle w:val="ListParagraph"/>
        <w:ind w:left="1276"/>
        <w:jc w:val="both"/>
        <w:rPr>
          <w:rFonts w:asciiTheme="majorHAnsi" w:hAnsiTheme="majorHAnsi" w:cs="ÄË–·˛"/>
        </w:rPr>
      </w:pPr>
      <w:r w:rsidRPr="00CD45F8">
        <w:rPr>
          <w:rFonts w:asciiTheme="majorHAnsi" w:hAnsiTheme="majorHAnsi" w:cs="ÄË–·˛"/>
          <w:lang w:val="el-GR"/>
        </w:rPr>
        <w:t xml:space="preserve">Παραθέτουμε το σχετικό </w:t>
      </w:r>
      <w:r w:rsidRPr="00CD45F8">
        <w:rPr>
          <w:rFonts w:asciiTheme="majorHAnsi" w:hAnsiTheme="majorHAnsi" w:cs="ÄË–·˛"/>
        </w:rPr>
        <w:t>link</w:t>
      </w:r>
      <w:r w:rsidR="0099740C" w:rsidRPr="00CD45F8">
        <w:rPr>
          <w:rFonts w:asciiTheme="majorHAnsi" w:hAnsiTheme="majorHAnsi" w:cs="ÄË–·˛"/>
          <w:lang w:val="el-GR"/>
        </w:rPr>
        <w:t xml:space="preserve">, στο οποίο μπορείτε να βρείτε </w:t>
      </w:r>
      <w:r w:rsidR="003A5A27">
        <w:rPr>
          <w:rFonts w:asciiTheme="majorHAnsi" w:hAnsiTheme="majorHAnsi" w:cs="ÄË–·˛"/>
          <w:lang w:val="el-GR"/>
        </w:rPr>
        <w:t xml:space="preserve">τους πιστοποιημένους </w:t>
      </w:r>
      <w:proofErr w:type="spellStart"/>
      <w:r w:rsidR="003A5A27">
        <w:rPr>
          <w:rFonts w:asciiTheme="majorHAnsi" w:hAnsiTheme="majorHAnsi" w:cs="ÄË–·˛"/>
          <w:lang w:val="el-GR"/>
        </w:rPr>
        <w:t>παρόχους</w:t>
      </w:r>
      <w:proofErr w:type="spellEnd"/>
      <w:r w:rsidR="003A5A27">
        <w:rPr>
          <w:rFonts w:asciiTheme="majorHAnsi" w:hAnsiTheme="majorHAnsi" w:cs="ÄË–·˛"/>
          <w:lang w:val="el-GR"/>
        </w:rPr>
        <w:t xml:space="preserve"> και</w:t>
      </w:r>
      <w:r w:rsidR="003A5A27" w:rsidRPr="00CD45F8">
        <w:rPr>
          <w:rFonts w:asciiTheme="majorHAnsi" w:hAnsiTheme="majorHAnsi" w:cs="ÄË–·˛"/>
          <w:lang w:val="el-GR"/>
        </w:rPr>
        <w:t xml:space="preserve"> </w:t>
      </w:r>
      <w:r w:rsidR="0099740C" w:rsidRPr="00CD45F8">
        <w:rPr>
          <w:rFonts w:asciiTheme="majorHAnsi" w:hAnsiTheme="majorHAnsi" w:cs="ÄË–·˛"/>
          <w:lang w:val="el-GR"/>
        </w:rPr>
        <w:t>περισσότερες πληροφορίες:</w:t>
      </w:r>
      <w:r w:rsidRPr="00CD45F8">
        <w:rPr>
          <w:rFonts w:asciiTheme="majorHAnsi" w:hAnsiTheme="majorHAnsi" w:cs="ÄË–·˛"/>
        </w:rPr>
        <w:t xml:space="preserve"> </w:t>
      </w:r>
    </w:p>
    <w:p w14:paraId="1D2C64F9" w14:textId="7ACB08C4" w:rsidR="00BD1F07" w:rsidRPr="00CD45F8" w:rsidRDefault="003A5A27" w:rsidP="00D36B3B">
      <w:pPr>
        <w:pStyle w:val="ListParagraph"/>
        <w:ind w:left="1276"/>
        <w:jc w:val="both"/>
        <w:rPr>
          <w:rFonts w:asciiTheme="majorHAnsi" w:hAnsiTheme="majorHAnsi" w:cs="ÄË–·˛"/>
          <w:lang w:val="el-GR"/>
        </w:rPr>
      </w:pPr>
      <w:hyperlink r:id="rId9" w:history="1">
        <w:r w:rsidR="002B095F" w:rsidRPr="00CD45F8">
          <w:rPr>
            <w:rStyle w:val="Hyperlink"/>
            <w:rFonts w:asciiTheme="majorHAnsi" w:hAnsiTheme="majorHAnsi" w:cs="ÄË–·˛"/>
          </w:rPr>
          <w:t>https://www.aade.gr/epiheiriseis/mydata-ilektronika-biblia-aade/parohoi-ypiresion-ilektronikis-timologisis</w:t>
        </w:r>
      </w:hyperlink>
      <w:r w:rsidR="002B095F" w:rsidRPr="00CD45F8">
        <w:rPr>
          <w:rFonts w:asciiTheme="majorHAnsi" w:hAnsiTheme="majorHAnsi" w:cs="ÄË–·˛"/>
        </w:rPr>
        <w:t xml:space="preserve"> </w:t>
      </w:r>
    </w:p>
    <w:p w14:paraId="2682D8A9" w14:textId="567BEA18" w:rsidR="00CF7BEA" w:rsidRPr="00CD45F8" w:rsidRDefault="00CF7BEA" w:rsidP="00320CA3">
      <w:pPr>
        <w:pStyle w:val="ListParagraph"/>
        <w:numPr>
          <w:ilvl w:val="0"/>
          <w:numId w:val="27"/>
        </w:numPr>
        <w:jc w:val="both"/>
        <w:rPr>
          <w:rFonts w:asciiTheme="majorHAnsi" w:hAnsiTheme="majorHAnsi" w:cs="ÄË–·˛"/>
          <w:lang w:val="el-GR"/>
        </w:rPr>
      </w:pPr>
      <w:r w:rsidRPr="00CD45F8">
        <w:rPr>
          <w:rFonts w:asciiTheme="majorHAnsi" w:hAnsiTheme="majorHAnsi" w:cs="ÄË–·˛"/>
          <w:lang w:val="el-GR"/>
        </w:rPr>
        <w:t xml:space="preserve">μέσω </w:t>
      </w:r>
      <w:r w:rsidRPr="00CD45F8">
        <w:rPr>
          <w:rFonts w:asciiTheme="majorHAnsi" w:hAnsiTheme="majorHAnsi" w:cs="ÄË–·˛"/>
          <w:b/>
          <w:lang w:val="el-GR"/>
        </w:rPr>
        <w:t>Προγράμματος διαχείρισης</w:t>
      </w:r>
      <w:r w:rsidRPr="00CD45F8">
        <w:rPr>
          <w:rFonts w:asciiTheme="majorHAnsi" w:hAnsiTheme="majorHAnsi" w:cs="ÄË–·˛"/>
          <w:lang w:val="el-GR"/>
        </w:rPr>
        <w:t xml:space="preserve"> </w:t>
      </w:r>
      <w:r w:rsidRPr="00CD45F8">
        <w:rPr>
          <w:rFonts w:asciiTheme="majorHAnsi" w:hAnsiTheme="majorHAnsi" w:cs="ÄË–·˛"/>
          <w:b/>
          <w:lang w:val="el-GR"/>
        </w:rPr>
        <w:t xml:space="preserve">(εμπορικό/λογιστικό, </w:t>
      </w:r>
      <w:proofErr w:type="spellStart"/>
      <w:r w:rsidRPr="00CD45F8">
        <w:rPr>
          <w:rFonts w:asciiTheme="majorHAnsi" w:hAnsiTheme="majorHAnsi" w:cs="ÄË–·˛"/>
          <w:b/>
        </w:rPr>
        <w:t>ERP</w:t>
      </w:r>
      <w:proofErr w:type="spellEnd"/>
      <w:r w:rsidRPr="00CD45F8">
        <w:rPr>
          <w:rFonts w:asciiTheme="majorHAnsi" w:hAnsiTheme="majorHAnsi" w:cs="ÄË–·˛"/>
          <w:b/>
        </w:rPr>
        <w:t xml:space="preserve">) </w:t>
      </w:r>
      <w:r w:rsidRPr="00CD45F8">
        <w:rPr>
          <w:rFonts w:asciiTheme="majorHAnsi" w:hAnsiTheme="majorHAnsi" w:cs="ÄË–·˛"/>
          <w:lang w:val="el-GR"/>
        </w:rPr>
        <w:t xml:space="preserve">που τυχόν χρησιμοποιείται από δικηγορικά γραφεία/εταιρείες, αφού </w:t>
      </w:r>
      <w:r w:rsidR="00185A75" w:rsidRPr="00CD45F8">
        <w:rPr>
          <w:rFonts w:asciiTheme="majorHAnsi" w:hAnsiTheme="majorHAnsi" w:cs="ÄË–·˛"/>
          <w:lang w:val="el-GR"/>
        </w:rPr>
        <w:t xml:space="preserve">πρώτα </w:t>
      </w:r>
      <w:r w:rsidRPr="00CD45F8">
        <w:rPr>
          <w:rFonts w:asciiTheme="majorHAnsi" w:hAnsiTheme="majorHAnsi" w:cs="ÄË–·˛"/>
          <w:lang w:val="el-GR"/>
        </w:rPr>
        <w:t xml:space="preserve">το εν λόγω </w:t>
      </w:r>
      <w:r w:rsidR="001F40B3" w:rsidRPr="00CD45F8">
        <w:rPr>
          <w:rFonts w:asciiTheme="majorHAnsi" w:hAnsiTheme="majorHAnsi" w:cs="ÄË–·˛"/>
          <w:lang w:val="el-GR"/>
        </w:rPr>
        <w:t xml:space="preserve">πρόγραμμα </w:t>
      </w:r>
      <w:r w:rsidRPr="00CD45F8">
        <w:rPr>
          <w:rFonts w:asciiTheme="majorHAnsi" w:hAnsiTheme="majorHAnsi" w:cs="ÄË–·˛"/>
          <w:lang w:val="el-GR"/>
        </w:rPr>
        <w:t>διασυνδεθ</w:t>
      </w:r>
      <w:r w:rsidR="001F40B3" w:rsidRPr="00CD45F8">
        <w:rPr>
          <w:rFonts w:asciiTheme="majorHAnsi" w:hAnsiTheme="majorHAnsi" w:cs="ÄË–·˛"/>
          <w:lang w:val="el-GR"/>
        </w:rPr>
        <w:t xml:space="preserve">εί </w:t>
      </w:r>
      <w:r w:rsidRPr="00CD45F8">
        <w:rPr>
          <w:rFonts w:asciiTheme="majorHAnsi" w:hAnsiTheme="majorHAnsi" w:cs="ÄË–·˛"/>
          <w:lang w:val="el-GR"/>
        </w:rPr>
        <w:t>μέσω σχετικής διεπαφής</w:t>
      </w:r>
      <w:r w:rsidR="001F40B3" w:rsidRPr="00CD45F8">
        <w:rPr>
          <w:rFonts w:asciiTheme="majorHAnsi" w:hAnsiTheme="majorHAnsi" w:cs="ÄË–·˛"/>
          <w:lang w:val="el-GR"/>
        </w:rPr>
        <w:t xml:space="preserve"> </w:t>
      </w:r>
      <w:r w:rsidR="00135FFF" w:rsidRPr="00CD45F8">
        <w:rPr>
          <w:rFonts w:asciiTheme="majorHAnsi" w:hAnsiTheme="majorHAnsi" w:cs="ÄË–·˛"/>
          <w:lang w:val="el-GR"/>
        </w:rPr>
        <w:t xml:space="preserve">με την </w:t>
      </w:r>
      <w:proofErr w:type="spellStart"/>
      <w:r w:rsidR="00135FFF" w:rsidRPr="00CD45F8">
        <w:rPr>
          <w:rFonts w:asciiTheme="majorHAnsi" w:hAnsiTheme="majorHAnsi" w:cs="ÄË–·˛"/>
          <w:lang w:val="el-GR"/>
        </w:rPr>
        <w:t>ΑΑΔΕ</w:t>
      </w:r>
      <w:proofErr w:type="spellEnd"/>
      <w:r w:rsidR="00135FFF" w:rsidRPr="00CD45F8">
        <w:rPr>
          <w:rFonts w:asciiTheme="majorHAnsi" w:hAnsiTheme="majorHAnsi" w:cs="ÄË–·˛"/>
          <w:lang w:val="el-GR"/>
        </w:rPr>
        <w:t>.</w:t>
      </w:r>
    </w:p>
    <w:p w14:paraId="156CFF00" w14:textId="5F648B8A" w:rsidR="00FC5423" w:rsidRDefault="005973A2" w:rsidP="00320CA3">
      <w:pPr>
        <w:pStyle w:val="ListParagraph"/>
        <w:numPr>
          <w:ilvl w:val="0"/>
          <w:numId w:val="27"/>
        </w:numPr>
        <w:jc w:val="both"/>
        <w:rPr>
          <w:rFonts w:asciiTheme="majorHAnsi" w:hAnsiTheme="majorHAnsi" w:cs="ÄË–·˛"/>
          <w:lang w:val="el-GR"/>
        </w:rPr>
      </w:pPr>
      <w:r w:rsidRPr="00CD45F8">
        <w:rPr>
          <w:rFonts w:asciiTheme="majorHAnsi" w:hAnsiTheme="majorHAnsi" w:cs="ÄË–·˛"/>
          <w:lang w:val="el-GR"/>
        </w:rPr>
        <w:t xml:space="preserve">μέσω της </w:t>
      </w:r>
      <w:r w:rsidRPr="00CD45F8">
        <w:rPr>
          <w:rFonts w:asciiTheme="majorHAnsi" w:hAnsiTheme="majorHAnsi" w:cs="ÄË–·˛"/>
          <w:b/>
          <w:lang w:val="el-GR"/>
        </w:rPr>
        <w:t xml:space="preserve">εφαρμογής </w:t>
      </w:r>
      <w:r w:rsidRPr="00CD45F8">
        <w:rPr>
          <w:rFonts w:asciiTheme="majorHAnsi" w:hAnsiTheme="majorHAnsi" w:cs="ÄË–·˛"/>
          <w:b/>
        </w:rPr>
        <w:t>e-</w:t>
      </w:r>
      <w:proofErr w:type="spellStart"/>
      <w:r w:rsidRPr="00CD45F8">
        <w:rPr>
          <w:rFonts w:asciiTheme="majorHAnsi" w:hAnsiTheme="majorHAnsi" w:cs="ÄË–·˛"/>
          <w:b/>
        </w:rPr>
        <w:t>timologio</w:t>
      </w:r>
      <w:proofErr w:type="spellEnd"/>
      <w:r w:rsidRPr="00CD45F8">
        <w:rPr>
          <w:rFonts w:asciiTheme="majorHAnsi" w:hAnsiTheme="majorHAnsi" w:cs="ÄË–·˛"/>
        </w:rPr>
        <w:t xml:space="preserve">, </w:t>
      </w:r>
      <w:r w:rsidRPr="00CD45F8">
        <w:rPr>
          <w:rFonts w:asciiTheme="majorHAnsi" w:hAnsiTheme="majorHAnsi" w:cs="ÄË–·˛"/>
          <w:lang w:val="el-GR"/>
        </w:rPr>
        <w:t xml:space="preserve">που είναι προσβάσιμη μέσω του διαδικτυακού τόπου της </w:t>
      </w:r>
      <w:proofErr w:type="spellStart"/>
      <w:r w:rsidRPr="00CD45F8">
        <w:rPr>
          <w:rFonts w:asciiTheme="majorHAnsi" w:hAnsiTheme="majorHAnsi" w:cs="ÄË–·˛"/>
          <w:lang w:val="el-GR"/>
        </w:rPr>
        <w:t>ΑΑΔΕ</w:t>
      </w:r>
      <w:proofErr w:type="spellEnd"/>
      <w:r w:rsidRPr="00CD45F8">
        <w:rPr>
          <w:rFonts w:asciiTheme="majorHAnsi" w:hAnsiTheme="majorHAnsi" w:cs="ÄË–·˛"/>
          <w:lang w:val="el-GR"/>
        </w:rPr>
        <w:t xml:space="preserve">. </w:t>
      </w:r>
    </w:p>
    <w:p w14:paraId="7E4EF4F9" w14:textId="2274C1ED" w:rsidR="00E31BF3" w:rsidRPr="00FC5423" w:rsidRDefault="00A2234C" w:rsidP="00FC5423">
      <w:pPr>
        <w:pStyle w:val="ListParagraph"/>
        <w:ind w:left="1276"/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>Με</w:t>
      </w:r>
      <w:r w:rsidR="005973A2" w:rsidRPr="00FC5423">
        <w:rPr>
          <w:rFonts w:asciiTheme="majorHAnsi" w:hAnsiTheme="majorHAnsi" w:cs="ÄË–·˛"/>
          <w:lang w:val="el-GR"/>
        </w:rPr>
        <w:t xml:space="preserve"> την εν λόγω εφαρμογή τα παραστατικά </w:t>
      </w:r>
      <w:r w:rsidR="00E93586" w:rsidRPr="00FC5423">
        <w:rPr>
          <w:rFonts w:asciiTheme="majorHAnsi" w:hAnsiTheme="majorHAnsi" w:cs="ÄË–·˛"/>
          <w:u w:val="single"/>
          <w:lang w:val="el-GR"/>
        </w:rPr>
        <w:t>εκδίδονται ηλεκτρονικά</w:t>
      </w:r>
      <w:r w:rsidR="00E93586" w:rsidRPr="00FC5423">
        <w:rPr>
          <w:rFonts w:asciiTheme="majorHAnsi" w:hAnsiTheme="majorHAnsi" w:cs="ÄË–·˛"/>
          <w:lang w:val="el-GR"/>
        </w:rPr>
        <w:t xml:space="preserve"> </w:t>
      </w:r>
      <w:r w:rsidR="005973A2" w:rsidRPr="00FC5423">
        <w:rPr>
          <w:rFonts w:asciiTheme="majorHAnsi" w:hAnsiTheme="majorHAnsi" w:cs="ÄË–·˛"/>
          <w:lang w:val="el-GR"/>
        </w:rPr>
        <w:t xml:space="preserve">και </w:t>
      </w:r>
      <w:r w:rsidR="00294DDF" w:rsidRPr="00FC5423">
        <w:rPr>
          <w:rFonts w:asciiTheme="majorHAnsi" w:hAnsiTheme="majorHAnsi" w:cs="ÄË–·˛"/>
          <w:u w:val="single"/>
          <w:lang w:val="el-GR"/>
        </w:rPr>
        <w:t xml:space="preserve">ταυτόχρονα </w:t>
      </w:r>
      <w:r w:rsidR="005973A2" w:rsidRPr="00FC5423">
        <w:rPr>
          <w:rFonts w:asciiTheme="majorHAnsi" w:hAnsiTheme="majorHAnsi" w:cs="ÄË–·˛"/>
          <w:u w:val="single"/>
          <w:lang w:val="el-GR"/>
        </w:rPr>
        <w:t>διαβιβάζονται</w:t>
      </w:r>
      <w:r w:rsidR="005973A2" w:rsidRPr="00FC5423">
        <w:rPr>
          <w:rFonts w:asciiTheme="majorHAnsi" w:hAnsiTheme="majorHAnsi" w:cs="ÄË–·˛"/>
          <w:lang w:val="el-GR"/>
        </w:rPr>
        <w:t xml:space="preserve"> σε πραγματικό χρόνο με την έκδοσή τους. </w:t>
      </w:r>
    </w:p>
    <w:p w14:paraId="02BF2986" w14:textId="7019B38A" w:rsidR="00D36B3B" w:rsidRDefault="00E31BF3" w:rsidP="00D36B3B">
      <w:pPr>
        <w:pStyle w:val="ListParagraph"/>
        <w:ind w:left="1276"/>
        <w:jc w:val="both"/>
        <w:rPr>
          <w:rFonts w:asciiTheme="majorHAnsi" w:hAnsiTheme="majorHAnsi" w:cs="ÄË–·˛"/>
        </w:rPr>
      </w:pPr>
      <w:r w:rsidRPr="00CD45F8">
        <w:rPr>
          <w:rFonts w:asciiTheme="majorHAnsi" w:hAnsiTheme="majorHAnsi" w:cs="ÄË–·˛"/>
          <w:lang w:val="el-GR"/>
        </w:rPr>
        <w:t>Π</w:t>
      </w:r>
      <w:r w:rsidR="005973A2" w:rsidRPr="00CD45F8">
        <w:rPr>
          <w:rFonts w:asciiTheme="majorHAnsi" w:hAnsiTheme="majorHAnsi" w:cs="ÄË–·˛"/>
          <w:lang w:val="el-GR"/>
        </w:rPr>
        <w:t xml:space="preserve">αραθέτουμε </w:t>
      </w:r>
      <w:r w:rsidR="00825936">
        <w:rPr>
          <w:rFonts w:asciiTheme="majorHAnsi" w:hAnsiTheme="majorHAnsi" w:cs="ÄË–·˛"/>
          <w:lang w:val="el-GR"/>
        </w:rPr>
        <w:t xml:space="preserve">κατωτέρω </w:t>
      </w:r>
      <w:r w:rsidR="005973A2" w:rsidRPr="00CD45F8">
        <w:rPr>
          <w:rFonts w:asciiTheme="majorHAnsi" w:hAnsiTheme="majorHAnsi" w:cs="ÄË–·˛"/>
          <w:lang w:val="el-GR"/>
        </w:rPr>
        <w:t xml:space="preserve">το σχετικό </w:t>
      </w:r>
      <w:r w:rsidR="005973A2" w:rsidRPr="00CD45F8">
        <w:rPr>
          <w:rFonts w:asciiTheme="majorHAnsi" w:hAnsiTheme="majorHAnsi" w:cs="ÄË–·˛"/>
        </w:rPr>
        <w:t>link</w:t>
      </w:r>
      <w:r w:rsidR="00851C76" w:rsidRPr="00851C76">
        <w:rPr>
          <w:rFonts w:asciiTheme="majorHAnsi" w:hAnsiTheme="majorHAnsi" w:cs="ÄË–·˛"/>
          <w:lang w:val="el-GR"/>
        </w:rPr>
        <w:t xml:space="preserve"> </w:t>
      </w:r>
      <w:r w:rsidR="00825936">
        <w:rPr>
          <w:rFonts w:asciiTheme="majorHAnsi" w:hAnsiTheme="majorHAnsi" w:cs="ÄË–·˛"/>
          <w:lang w:val="el-GR"/>
        </w:rPr>
        <w:t>για την</w:t>
      </w:r>
      <w:r w:rsidR="00851C76" w:rsidRPr="00CD45F8">
        <w:rPr>
          <w:rFonts w:asciiTheme="majorHAnsi" w:hAnsiTheme="majorHAnsi" w:cs="ÄË–·˛"/>
          <w:lang w:val="el-GR"/>
        </w:rPr>
        <w:t xml:space="preserve"> εφαρμογή</w:t>
      </w:r>
      <w:r w:rsidR="00080F12">
        <w:rPr>
          <w:rFonts w:asciiTheme="majorHAnsi" w:hAnsiTheme="majorHAnsi" w:cs="ÄË–·˛"/>
          <w:lang w:val="el-GR"/>
        </w:rPr>
        <w:t>:</w:t>
      </w:r>
    </w:p>
    <w:p w14:paraId="57AD894B" w14:textId="247AEBC8" w:rsidR="005973A2" w:rsidRPr="005A45B1" w:rsidRDefault="003A5A27" w:rsidP="005A45B1">
      <w:pPr>
        <w:pStyle w:val="ListParagraph"/>
        <w:ind w:left="1276"/>
        <w:jc w:val="both"/>
        <w:rPr>
          <w:rFonts w:asciiTheme="majorHAnsi" w:hAnsiTheme="majorHAnsi" w:cs="ÄË–·˛"/>
          <w:lang w:val="el-GR"/>
        </w:rPr>
      </w:pPr>
      <w:hyperlink r:id="rId10" w:history="1">
        <w:r w:rsidR="005973A2" w:rsidRPr="00851C76">
          <w:rPr>
            <w:rStyle w:val="Hyperlink"/>
            <w:rFonts w:asciiTheme="majorHAnsi" w:hAnsiTheme="majorHAnsi" w:cs="ÄË–·˛"/>
          </w:rPr>
          <w:t>https://</w:t>
        </w:r>
        <w:proofErr w:type="spellStart"/>
        <w:r w:rsidR="005973A2" w:rsidRPr="00851C76">
          <w:rPr>
            <w:rStyle w:val="Hyperlink"/>
            <w:rFonts w:asciiTheme="majorHAnsi" w:hAnsiTheme="majorHAnsi" w:cs="ÄË–·˛"/>
          </w:rPr>
          <w:t>www.aade.gr</w:t>
        </w:r>
        <w:proofErr w:type="spellEnd"/>
        <w:r w:rsidR="005973A2" w:rsidRPr="00851C76">
          <w:rPr>
            <w:rStyle w:val="Hyperlink"/>
            <w:rFonts w:asciiTheme="majorHAnsi" w:hAnsiTheme="majorHAnsi" w:cs="ÄË–·˛"/>
          </w:rPr>
          <w:t>/</w:t>
        </w:r>
        <w:proofErr w:type="spellStart"/>
        <w:r w:rsidR="005973A2" w:rsidRPr="00851C76">
          <w:rPr>
            <w:rStyle w:val="Hyperlink"/>
            <w:rFonts w:asciiTheme="majorHAnsi" w:hAnsiTheme="majorHAnsi" w:cs="ÄË–·˛"/>
          </w:rPr>
          <w:t>timologio</w:t>
        </w:r>
        <w:proofErr w:type="spellEnd"/>
      </w:hyperlink>
      <w:proofErr w:type="gramStart"/>
      <w:r w:rsidR="005A45B1">
        <w:rPr>
          <w:rFonts w:asciiTheme="majorHAnsi" w:hAnsiTheme="majorHAnsi" w:cs="ÄË–·˛"/>
          <w:lang w:val="el-GR"/>
        </w:rPr>
        <w:t xml:space="preserve"> </w:t>
      </w:r>
      <w:r w:rsidR="00080F12">
        <w:rPr>
          <w:rFonts w:asciiTheme="majorHAnsi" w:hAnsiTheme="majorHAnsi" w:cs="ÄË–·˛"/>
          <w:lang w:val="el-GR"/>
        </w:rPr>
        <w:t>.</w:t>
      </w:r>
      <w:proofErr w:type="gramEnd"/>
      <w:r w:rsidR="00080F12">
        <w:rPr>
          <w:rFonts w:asciiTheme="majorHAnsi" w:hAnsiTheme="majorHAnsi" w:cs="ÄË–·˛"/>
          <w:lang w:val="el-GR"/>
        </w:rPr>
        <w:t xml:space="preserve"> Στον εν λόγω διαδικτυακό τόπο</w:t>
      </w:r>
      <w:r w:rsidR="005A45B1" w:rsidRPr="00851C76">
        <w:rPr>
          <w:rFonts w:asciiTheme="majorHAnsi" w:hAnsiTheme="majorHAnsi" w:cs="ÄË–·˛"/>
          <w:lang w:val="el-GR"/>
        </w:rPr>
        <w:t xml:space="preserve"> </w:t>
      </w:r>
      <w:r w:rsidR="00080F12">
        <w:rPr>
          <w:rFonts w:asciiTheme="majorHAnsi" w:hAnsiTheme="majorHAnsi" w:cs="ÄË–·˛"/>
          <w:lang w:val="el-GR"/>
        </w:rPr>
        <w:t>μπορείτε να βρείτε</w:t>
      </w:r>
      <w:r w:rsidR="005A45B1">
        <w:rPr>
          <w:rFonts w:asciiTheme="majorHAnsi" w:hAnsiTheme="majorHAnsi" w:cs="ÄË–·˛"/>
          <w:lang w:val="el-GR"/>
        </w:rPr>
        <w:t xml:space="preserve"> μεταξύ άλλων και σχετικές </w:t>
      </w:r>
      <w:r w:rsidR="00E97372" w:rsidRPr="005A45B1">
        <w:rPr>
          <w:rFonts w:asciiTheme="majorHAnsi" w:hAnsiTheme="majorHAnsi" w:cs="ÄË–·˛"/>
          <w:lang w:val="el-GR"/>
        </w:rPr>
        <w:t xml:space="preserve">οδηγίες </w:t>
      </w:r>
      <w:r w:rsidR="00CA35F5" w:rsidRPr="005A45B1">
        <w:rPr>
          <w:rFonts w:asciiTheme="majorHAnsi" w:hAnsiTheme="majorHAnsi" w:cs="ÄË–·˛"/>
          <w:lang w:val="el-GR"/>
        </w:rPr>
        <w:t xml:space="preserve">που έχουν </w:t>
      </w:r>
      <w:r w:rsidR="00E31BF3" w:rsidRPr="005A45B1">
        <w:rPr>
          <w:rFonts w:asciiTheme="majorHAnsi" w:hAnsiTheme="majorHAnsi" w:cs="ÄË–·˛"/>
          <w:lang w:val="el-GR"/>
        </w:rPr>
        <w:t>εκδο</w:t>
      </w:r>
      <w:r w:rsidR="00CA35F5" w:rsidRPr="005A45B1">
        <w:rPr>
          <w:rFonts w:asciiTheme="majorHAnsi" w:hAnsiTheme="majorHAnsi" w:cs="ÄË–·˛"/>
          <w:lang w:val="el-GR"/>
        </w:rPr>
        <w:t xml:space="preserve">θεί </w:t>
      </w:r>
      <w:r w:rsidR="005F76F9" w:rsidRPr="005A45B1">
        <w:rPr>
          <w:rFonts w:asciiTheme="majorHAnsi" w:hAnsiTheme="majorHAnsi" w:cs="ÄË–·˛"/>
          <w:lang w:val="el-GR"/>
        </w:rPr>
        <w:t>ειδικά</w:t>
      </w:r>
      <w:r w:rsidR="00E97372" w:rsidRPr="005A45B1">
        <w:rPr>
          <w:rFonts w:asciiTheme="majorHAnsi" w:hAnsiTheme="majorHAnsi" w:cs="ÄË–·˛"/>
          <w:lang w:val="el-GR"/>
        </w:rPr>
        <w:t xml:space="preserve"> </w:t>
      </w:r>
      <w:r w:rsidR="00CA35F5" w:rsidRPr="005A45B1">
        <w:rPr>
          <w:rFonts w:asciiTheme="majorHAnsi" w:hAnsiTheme="majorHAnsi" w:cs="ÄË–·˛"/>
          <w:lang w:val="el-GR"/>
        </w:rPr>
        <w:t xml:space="preserve">για τους Δικηγόρους </w:t>
      </w:r>
      <w:r w:rsidR="00E7739E" w:rsidRPr="005A45B1">
        <w:rPr>
          <w:rFonts w:asciiTheme="majorHAnsi" w:hAnsiTheme="majorHAnsi" w:cs="ÄË–·˛"/>
          <w:lang w:val="el-GR"/>
        </w:rPr>
        <w:t xml:space="preserve">από την </w:t>
      </w:r>
      <w:proofErr w:type="spellStart"/>
      <w:r w:rsidR="00E7739E" w:rsidRPr="005A45B1">
        <w:rPr>
          <w:rFonts w:asciiTheme="majorHAnsi" w:hAnsiTheme="majorHAnsi" w:cs="ÄË–·˛"/>
          <w:lang w:val="el-GR"/>
        </w:rPr>
        <w:t>ΑΑΔΕ</w:t>
      </w:r>
      <w:proofErr w:type="spellEnd"/>
      <w:r w:rsidR="00E7739E" w:rsidRPr="005A45B1">
        <w:rPr>
          <w:rFonts w:asciiTheme="majorHAnsi" w:hAnsiTheme="majorHAnsi" w:cs="ÄË–·˛"/>
          <w:lang w:val="el-GR"/>
        </w:rPr>
        <w:t xml:space="preserve"> </w:t>
      </w:r>
      <w:r w:rsidR="00CA35F5" w:rsidRPr="005A45B1">
        <w:rPr>
          <w:rFonts w:asciiTheme="majorHAnsi" w:hAnsiTheme="majorHAnsi" w:cs="ÄË–·˛"/>
          <w:lang w:val="el-GR"/>
        </w:rPr>
        <w:t>και αφορούν στην</w:t>
      </w:r>
      <w:r w:rsidR="00E97372" w:rsidRPr="005A45B1">
        <w:rPr>
          <w:rFonts w:asciiTheme="majorHAnsi" w:hAnsiTheme="majorHAnsi" w:cs="ÄË–·˛"/>
          <w:lang w:val="el-GR"/>
        </w:rPr>
        <w:t xml:space="preserve"> έκδοση και διαβίβαση παραστατικών μέσω της εφαρμογής (οι οδηγίες περιλαμβάνουν παραδείγματα έκδοσης </w:t>
      </w:r>
      <w:proofErr w:type="spellStart"/>
      <w:r w:rsidR="00E97372" w:rsidRPr="005A45B1">
        <w:rPr>
          <w:rFonts w:asciiTheme="majorHAnsi" w:hAnsiTheme="majorHAnsi" w:cs="ÄË–·˛"/>
          <w:lang w:val="el-GR"/>
        </w:rPr>
        <w:t>ΑΠΥ</w:t>
      </w:r>
      <w:proofErr w:type="spellEnd"/>
      <w:r w:rsidR="00E97372" w:rsidRPr="005A45B1">
        <w:rPr>
          <w:rFonts w:asciiTheme="majorHAnsi" w:hAnsiTheme="majorHAnsi" w:cs="ÄË–·˛"/>
          <w:lang w:val="el-GR"/>
        </w:rPr>
        <w:t xml:space="preserve"> και Τιμολογίων Παροχής Υπηρεσιών).</w:t>
      </w:r>
      <w:r w:rsidR="00A562AC" w:rsidRPr="005A45B1">
        <w:rPr>
          <w:rFonts w:asciiTheme="majorHAnsi" w:hAnsiTheme="majorHAnsi" w:cs="ÄË–·˛"/>
          <w:lang w:val="el-GR"/>
        </w:rPr>
        <w:t xml:space="preserve"> </w:t>
      </w:r>
    </w:p>
    <w:p w14:paraId="00593F6E" w14:textId="77777777" w:rsidR="005B683C" w:rsidRDefault="005973A2" w:rsidP="00320CA3">
      <w:pPr>
        <w:pStyle w:val="ListParagraph"/>
        <w:numPr>
          <w:ilvl w:val="0"/>
          <w:numId w:val="27"/>
        </w:numPr>
        <w:jc w:val="both"/>
        <w:rPr>
          <w:rFonts w:asciiTheme="majorHAnsi" w:hAnsiTheme="majorHAnsi" w:cs="ÄË–·˛"/>
          <w:lang w:val="el-GR"/>
        </w:rPr>
      </w:pPr>
      <w:r w:rsidRPr="00CD45F8">
        <w:rPr>
          <w:rFonts w:asciiTheme="majorHAnsi" w:hAnsiTheme="majorHAnsi" w:cs="ÄË–·˛"/>
          <w:lang w:val="el-GR"/>
        </w:rPr>
        <w:t xml:space="preserve">μέσω της </w:t>
      </w:r>
      <w:r w:rsidR="002E6EF8" w:rsidRPr="00CD45F8">
        <w:rPr>
          <w:rFonts w:asciiTheme="majorHAnsi" w:hAnsiTheme="majorHAnsi" w:cs="ÄË–·˛"/>
          <w:b/>
          <w:lang w:val="el-GR"/>
        </w:rPr>
        <w:t>ειδικής φόρμας καταχώρησης</w:t>
      </w:r>
      <w:r w:rsidR="002E6EF8" w:rsidRPr="00CD45F8">
        <w:rPr>
          <w:rFonts w:asciiTheme="majorHAnsi" w:hAnsiTheme="majorHAnsi" w:cs="ÄË–·˛"/>
          <w:lang w:val="el-GR"/>
        </w:rPr>
        <w:t>, που συνιστά εφαρμογή που είναι προσβάσιμη μέσω του διαδ</w:t>
      </w:r>
      <w:r w:rsidR="005F76F9" w:rsidRPr="00CD45F8">
        <w:rPr>
          <w:rFonts w:asciiTheme="majorHAnsi" w:hAnsiTheme="majorHAnsi" w:cs="ÄË–·˛"/>
          <w:lang w:val="el-GR"/>
        </w:rPr>
        <w:t xml:space="preserve">ικτυακού τόπου της </w:t>
      </w:r>
      <w:proofErr w:type="spellStart"/>
      <w:r w:rsidR="005F76F9" w:rsidRPr="00CD45F8">
        <w:rPr>
          <w:rFonts w:asciiTheme="majorHAnsi" w:hAnsiTheme="majorHAnsi" w:cs="ÄË–·˛"/>
          <w:lang w:val="el-GR"/>
        </w:rPr>
        <w:t>ΑΑΔΕ</w:t>
      </w:r>
      <w:proofErr w:type="spellEnd"/>
      <w:r w:rsidR="002E6EF8" w:rsidRPr="00CD45F8">
        <w:rPr>
          <w:rFonts w:asciiTheme="majorHAnsi" w:hAnsiTheme="majorHAnsi" w:cs="ÄË–·˛"/>
          <w:lang w:val="el-GR"/>
        </w:rPr>
        <w:t xml:space="preserve">. Η εν λόγω εφαρμογή </w:t>
      </w:r>
      <w:r w:rsidR="005F76F9" w:rsidRPr="00B259AE">
        <w:rPr>
          <w:rFonts w:asciiTheme="majorHAnsi" w:hAnsiTheme="majorHAnsi" w:cs="ÄË–·˛"/>
          <w:b/>
          <w:lang w:val="el-GR"/>
        </w:rPr>
        <w:t>προϋποθέτει τήρηση ορίων χρήσης</w:t>
      </w:r>
      <w:r w:rsidR="005F76F9" w:rsidRPr="00CD45F8">
        <w:rPr>
          <w:rFonts w:asciiTheme="majorHAnsi" w:hAnsiTheme="majorHAnsi" w:cs="ÄË–·˛"/>
          <w:lang w:val="el-GR"/>
        </w:rPr>
        <w:t xml:space="preserve"> και </w:t>
      </w:r>
      <w:r w:rsidR="005F76F9" w:rsidRPr="00693C36">
        <w:rPr>
          <w:rFonts w:asciiTheme="majorHAnsi" w:hAnsiTheme="majorHAnsi" w:cs="ÄË–·˛"/>
          <w:u w:val="single"/>
          <w:lang w:val="el-GR"/>
        </w:rPr>
        <w:t xml:space="preserve">αφορά </w:t>
      </w:r>
      <w:r w:rsidR="005F76F9" w:rsidRPr="00693C36">
        <w:rPr>
          <w:rFonts w:asciiTheme="majorHAnsi" w:hAnsiTheme="majorHAnsi" w:cs="ÄË–·˛"/>
          <w:b/>
          <w:u w:val="single"/>
          <w:lang w:val="el-GR"/>
        </w:rPr>
        <w:t>αποκλειστικά</w:t>
      </w:r>
      <w:r w:rsidR="005F76F9" w:rsidRPr="00CD45F8">
        <w:rPr>
          <w:rFonts w:asciiTheme="majorHAnsi" w:hAnsiTheme="majorHAnsi" w:cs="ÄË–·˛"/>
          <w:u w:val="single"/>
          <w:lang w:val="el-GR"/>
        </w:rPr>
        <w:t xml:space="preserve"> στην ηλεκτρονική διαβίβαση των </w:t>
      </w:r>
      <w:r w:rsidR="005F76F9" w:rsidRPr="00851C76">
        <w:rPr>
          <w:rFonts w:asciiTheme="majorHAnsi" w:hAnsiTheme="majorHAnsi" w:cs="ÄË–·˛"/>
          <w:u w:val="single"/>
          <w:lang w:val="el-GR"/>
        </w:rPr>
        <w:t xml:space="preserve">παραστατικών </w:t>
      </w:r>
      <w:r w:rsidR="005F76F9" w:rsidRPr="00693C36">
        <w:rPr>
          <w:rFonts w:asciiTheme="majorHAnsi" w:hAnsiTheme="majorHAnsi" w:cs="ÄË–·˛"/>
          <w:b/>
          <w:u w:val="single"/>
          <w:lang w:val="el-GR"/>
        </w:rPr>
        <w:t>και όχι</w:t>
      </w:r>
      <w:r w:rsidR="005F76F9" w:rsidRPr="00851C76">
        <w:rPr>
          <w:rFonts w:asciiTheme="majorHAnsi" w:hAnsiTheme="majorHAnsi" w:cs="ÄË–·˛"/>
          <w:u w:val="single"/>
          <w:lang w:val="el-GR"/>
        </w:rPr>
        <w:t xml:space="preserve"> στην έκδοσή τους που</w:t>
      </w:r>
      <w:r w:rsidR="005F76F9" w:rsidRPr="00CD45F8">
        <w:rPr>
          <w:rFonts w:asciiTheme="majorHAnsi" w:hAnsiTheme="majorHAnsi" w:cs="ÄË–·˛"/>
          <w:u w:val="single"/>
          <w:lang w:val="el-GR"/>
        </w:rPr>
        <w:t xml:space="preserve"> μπορεί να είναι </w:t>
      </w:r>
      <w:r w:rsidR="005F76F9" w:rsidRPr="003823D7">
        <w:rPr>
          <w:rFonts w:asciiTheme="majorHAnsi" w:hAnsiTheme="majorHAnsi" w:cs="ÄË–·˛"/>
          <w:b/>
          <w:u w:val="single"/>
          <w:lang w:val="el-GR"/>
        </w:rPr>
        <w:t>χειρόγραφη</w:t>
      </w:r>
      <w:r w:rsidR="005F76F9" w:rsidRPr="00CD45F8">
        <w:rPr>
          <w:rFonts w:asciiTheme="majorHAnsi" w:hAnsiTheme="majorHAnsi" w:cs="ÄË–·˛"/>
          <w:lang w:val="el-GR"/>
        </w:rPr>
        <w:t xml:space="preserve">. </w:t>
      </w:r>
    </w:p>
    <w:p w14:paraId="1C840027" w14:textId="4C2C72C3" w:rsidR="00220FB1" w:rsidRPr="00637F0D" w:rsidRDefault="00FB404D" w:rsidP="00637F0D">
      <w:pPr>
        <w:pStyle w:val="ListParagraph"/>
        <w:ind w:left="1276"/>
        <w:jc w:val="both"/>
        <w:rPr>
          <w:rFonts w:asciiTheme="majorHAnsi" w:hAnsiTheme="majorHAnsi" w:cs="ÄË–·˛"/>
          <w:lang w:val="el-GR"/>
        </w:rPr>
      </w:pPr>
      <w:r w:rsidRPr="00CD45F8">
        <w:rPr>
          <w:rFonts w:asciiTheme="majorHAnsi" w:hAnsiTheme="majorHAnsi" w:cs="ÄË–·˛"/>
          <w:lang w:val="el-GR"/>
        </w:rPr>
        <w:t>Η ειδική φόρμα καταχώρησης μ</w:t>
      </w:r>
      <w:r w:rsidR="00F70818" w:rsidRPr="00CD45F8">
        <w:rPr>
          <w:rFonts w:asciiTheme="majorHAnsi" w:hAnsiTheme="majorHAnsi" w:cs="ÄË–·˛"/>
          <w:lang w:val="el-GR"/>
        </w:rPr>
        <w:t xml:space="preserve">πορεί να χρησιμοποιηθεί </w:t>
      </w:r>
      <w:r w:rsidR="00C0362D" w:rsidRPr="007D40F0">
        <w:rPr>
          <w:rFonts w:asciiTheme="majorHAnsi" w:hAnsiTheme="majorHAnsi" w:cs="ÄË–·˛"/>
          <w:b/>
          <w:lang w:val="el-GR"/>
        </w:rPr>
        <w:t>μόνο</w:t>
      </w:r>
      <w:r w:rsidR="00C0362D" w:rsidRPr="00CD45F8">
        <w:rPr>
          <w:rFonts w:asciiTheme="majorHAnsi" w:hAnsiTheme="majorHAnsi" w:cs="ÄË–·˛"/>
          <w:lang w:val="el-GR"/>
        </w:rPr>
        <w:t xml:space="preserve"> </w:t>
      </w:r>
      <w:r w:rsidR="00F70818" w:rsidRPr="00CD45F8">
        <w:rPr>
          <w:rFonts w:asciiTheme="majorHAnsi" w:hAnsiTheme="majorHAnsi" w:cs="ÄË–·˛"/>
          <w:lang w:val="el-GR"/>
        </w:rPr>
        <w:t xml:space="preserve">από υπόχρεους που </w:t>
      </w:r>
      <w:r w:rsidR="00F70818" w:rsidRPr="007D40F0">
        <w:rPr>
          <w:rFonts w:asciiTheme="majorHAnsi" w:hAnsiTheme="majorHAnsi" w:cs="ÄË–·˛"/>
          <w:b/>
          <w:lang w:val="el-GR"/>
        </w:rPr>
        <w:t>(διαζευκτικά)</w:t>
      </w:r>
      <w:r w:rsidR="00F70818" w:rsidRPr="00CD45F8">
        <w:rPr>
          <w:rFonts w:asciiTheme="majorHAnsi" w:hAnsiTheme="majorHAnsi" w:cs="ÄË–·˛"/>
          <w:lang w:val="el-GR"/>
        </w:rPr>
        <w:t xml:space="preserve">: </w:t>
      </w:r>
      <w:r w:rsidR="00F70818" w:rsidRPr="00637F0D">
        <w:rPr>
          <w:rFonts w:asciiTheme="majorHAnsi" w:hAnsiTheme="majorHAnsi" w:cs="ÄË–·˛"/>
          <w:lang w:val="el-GR"/>
        </w:rPr>
        <w:t xml:space="preserve">α) </w:t>
      </w:r>
      <w:r w:rsidR="00157E9F" w:rsidRPr="00637F0D">
        <w:rPr>
          <w:rFonts w:asciiTheme="majorHAnsi" w:hAnsiTheme="majorHAnsi" w:cs="ÄË–·˛"/>
          <w:lang w:val="el-GR"/>
        </w:rPr>
        <w:t xml:space="preserve">τηρούν </w:t>
      </w:r>
      <w:r w:rsidR="00157E9F" w:rsidRPr="00637F0D">
        <w:rPr>
          <w:rFonts w:asciiTheme="majorHAnsi" w:hAnsiTheme="majorHAnsi" w:cs="ÄË–·˛"/>
          <w:b/>
          <w:lang w:val="el-GR"/>
        </w:rPr>
        <w:t>απλογραφικό λογιστικό σύστημα</w:t>
      </w:r>
      <w:r w:rsidR="00157E9F" w:rsidRPr="00637F0D">
        <w:rPr>
          <w:rFonts w:asciiTheme="majorHAnsi" w:hAnsiTheme="majorHAnsi" w:cs="ÄË–·˛"/>
          <w:lang w:val="el-GR"/>
        </w:rPr>
        <w:t xml:space="preserve"> και </w:t>
      </w:r>
      <w:r w:rsidR="00F70818" w:rsidRPr="00637F0D">
        <w:rPr>
          <w:rFonts w:asciiTheme="majorHAnsi" w:hAnsiTheme="majorHAnsi" w:cs="ÄË–·˛"/>
          <w:lang w:val="el-GR"/>
        </w:rPr>
        <w:t xml:space="preserve">τα ετήσια ακαθάριστα έσοδά τους </w:t>
      </w:r>
      <w:r w:rsidR="00F70818" w:rsidRPr="00637F0D">
        <w:rPr>
          <w:rFonts w:asciiTheme="majorHAnsi" w:hAnsiTheme="majorHAnsi" w:cs="ÄË–·˛"/>
          <w:b/>
          <w:lang w:val="el-GR"/>
        </w:rPr>
        <w:t xml:space="preserve">δεν υπερβαίνουν </w:t>
      </w:r>
      <w:r w:rsidR="00DF5BAD" w:rsidRPr="00637F0D">
        <w:rPr>
          <w:rFonts w:asciiTheme="majorHAnsi" w:hAnsiTheme="majorHAnsi" w:cs="ÄË–·˛"/>
          <w:b/>
          <w:lang w:val="el-GR"/>
        </w:rPr>
        <w:t>τα</w:t>
      </w:r>
      <w:r w:rsidR="00F70818" w:rsidRPr="00637F0D">
        <w:rPr>
          <w:rFonts w:asciiTheme="majorHAnsi" w:hAnsiTheme="majorHAnsi" w:cs="ÄË–·˛"/>
          <w:b/>
          <w:lang w:val="el-GR"/>
        </w:rPr>
        <w:t xml:space="preserve"> 50.000 ευρώ</w:t>
      </w:r>
      <w:r w:rsidR="0080354D" w:rsidRPr="00637F0D">
        <w:rPr>
          <w:rFonts w:ascii="Bookman Old Style" w:hAnsi="Bookman Old Style" w:cs="Bookman Old Style"/>
          <w:color w:val="000000"/>
          <w:sz w:val="32"/>
          <w:szCs w:val="32"/>
          <w:lang w:val="el-GR"/>
        </w:rPr>
        <w:t xml:space="preserve"> </w:t>
      </w:r>
      <w:r w:rsidR="00157E9F" w:rsidRPr="00637F0D">
        <w:rPr>
          <w:rFonts w:asciiTheme="majorHAnsi" w:hAnsiTheme="majorHAnsi" w:cs="ÄË–·˛"/>
          <w:lang w:val="el-GR"/>
        </w:rPr>
        <w:t>(</w:t>
      </w:r>
      <w:r w:rsidR="00020941" w:rsidRPr="00637F0D">
        <w:rPr>
          <w:rFonts w:asciiTheme="majorHAnsi" w:hAnsiTheme="majorHAnsi" w:cs="ÄË–·˛"/>
          <w:lang w:val="el-GR"/>
        </w:rPr>
        <w:t xml:space="preserve">σημειώνεται ότι λαμβάνονται υπόψη τα ακαθάριστα έσοδα </w:t>
      </w:r>
      <w:proofErr w:type="spellStart"/>
      <w:r w:rsidR="00020941" w:rsidRPr="00637F0D">
        <w:rPr>
          <w:rFonts w:asciiTheme="majorHAnsi" w:hAnsiTheme="majorHAnsi" w:cs="ÄË–·˛"/>
          <w:lang w:val="el-GR"/>
        </w:rPr>
        <w:t>όπως</w:t>
      </w:r>
      <w:proofErr w:type="spellEnd"/>
      <w:r w:rsidR="00020941" w:rsidRPr="00637F0D">
        <w:rPr>
          <w:rFonts w:asciiTheme="majorHAnsi" w:hAnsiTheme="majorHAnsi" w:cs="ÄË–·˛"/>
          <w:lang w:val="el-GR"/>
        </w:rPr>
        <w:t xml:space="preserve"> </w:t>
      </w:r>
      <w:r w:rsidR="00DF5BAD" w:rsidRPr="00637F0D">
        <w:rPr>
          <w:rFonts w:asciiTheme="majorHAnsi" w:hAnsiTheme="majorHAnsi" w:cs="ÄË–·˛"/>
          <w:lang w:val="el-GR"/>
        </w:rPr>
        <w:t xml:space="preserve">αυτά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προκύπτουν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απο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́ την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Πλατφόρμα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myDATA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και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ισχύουν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καθ’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όλη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τη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διάρκεια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του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επόμενου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έτους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,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εντός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του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οποίου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πραγματοποιε</w:t>
      </w:r>
      <w:r w:rsidR="00020941" w:rsidRPr="00637F0D">
        <w:rPr>
          <w:rFonts w:asciiTheme="majorHAnsi" w:hAnsiTheme="majorHAnsi" w:cs="ÄË–·˛"/>
          <w:lang w:val="el-GR"/>
        </w:rPr>
        <w:t>ίται</w:t>
      </w:r>
      <w:proofErr w:type="spellEnd"/>
      <w:r w:rsidR="00020941" w:rsidRPr="00637F0D">
        <w:rPr>
          <w:rFonts w:asciiTheme="majorHAnsi" w:hAnsiTheme="majorHAnsi" w:cs="ÄË–·˛"/>
          <w:lang w:val="el-GR"/>
        </w:rPr>
        <w:t xml:space="preserve"> η </w:t>
      </w:r>
      <w:proofErr w:type="spellStart"/>
      <w:r w:rsidR="00020941" w:rsidRPr="00637F0D">
        <w:rPr>
          <w:rFonts w:asciiTheme="majorHAnsi" w:hAnsiTheme="majorHAnsi" w:cs="ÄË–·˛"/>
          <w:lang w:val="el-GR"/>
        </w:rPr>
        <w:t>ηλεκτρονικη</w:t>
      </w:r>
      <w:proofErr w:type="spellEnd"/>
      <w:r w:rsidR="00020941" w:rsidRPr="00637F0D">
        <w:rPr>
          <w:rFonts w:asciiTheme="majorHAnsi" w:hAnsiTheme="majorHAnsi" w:cs="ÄË–·˛"/>
          <w:lang w:val="el-GR"/>
        </w:rPr>
        <w:t xml:space="preserve">́ </w:t>
      </w:r>
      <w:proofErr w:type="spellStart"/>
      <w:r w:rsidR="00020941" w:rsidRPr="00637F0D">
        <w:rPr>
          <w:rFonts w:asciiTheme="majorHAnsi" w:hAnsiTheme="majorHAnsi" w:cs="ÄË–·˛"/>
          <w:lang w:val="el-GR"/>
        </w:rPr>
        <w:t>διαβίβαση</w:t>
      </w:r>
      <w:proofErr w:type="spellEnd"/>
      <w:r w:rsidR="00020941" w:rsidRPr="00637F0D">
        <w:rPr>
          <w:rFonts w:asciiTheme="majorHAnsi" w:hAnsiTheme="majorHAnsi" w:cs="ÄË–·˛"/>
          <w:lang w:val="el-GR"/>
        </w:rPr>
        <w:t xml:space="preserve">. </w:t>
      </w:r>
      <w:proofErr w:type="spellStart"/>
      <w:r w:rsidR="00020941" w:rsidRPr="00637F0D">
        <w:rPr>
          <w:rFonts w:asciiTheme="majorHAnsi" w:hAnsiTheme="majorHAnsi" w:cs="ÄË–·˛"/>
          <w:lang w:val="el-GR"/>
        </w:rPr>
        <w:t>Εξαιρετικα</w:t>
      </w:r>
      <w:proofErr w:type="spellEnd"/>
      <w:r w:rsidR="00020941" w:rsidRPr="00637F0D">
        <w:rPr>
          <w:rFonts w:asciiTheme="majorHAnsi" w:hAnsiTheme="majorHAnsi" w:cs="ÄË–·˛"/>
          <w:lang w:val="el-GR"/>
        </w:rPr>
        <w:t>́ για το</w:t>
      </w:r>
      <w:r w:rsidR="00DF5BAD" w:rsidRPr="00637F0D">
        <w:rPr>
          <w:rFonts w:asciiTheme="majorHAnsi" w:hAnsiTheme="majorHAnsi" w:cs="ÄË–·˛"/>
          <w:lang w:val="el-GR"/>
        </w:rPr>
        <w:t xml:space="preserve"> 2021</w:t>
      </w:r>
      <w:r w:rsidR="0080354D" w:rsidRPr="00637F0D">
        <w:rPr>
          <w:rFonts w:asciiTheme="majorHAnsi" w:hAnsiTheme="majorHAnsi" w:cs="ÄË–·˛"/>
          <w:lang w:val="el-GR"/>
        </w:rPr>
        <w:t xml:space="preserve"> </w:t>
      </w:r>
      <w:r w:rsidR="00B23461" w:rsidRPr="00637F0D">
        <w:rPr>
          <w:rFonts w:asciiTheme="majorHAnsi" w:hAnsiTheme="majorHAnsi" w:cs="ÄË–·˛"/>
          <w:lang w:val="el-GR"/>
        </w:rPr>
        <w:t>αυτά προσδιορίζονται</w:t>
      </w:r>
      <w:r w:rsidR="0080354D" w:rsidRPr="00637F0D">
        <w:rPr>
          <w:rFonts w:asciiTheme="majorHAnsi" w:hAnsiTheme="majorHAnsi" w:cs="ÄË–·˛"/>
          <w:lang w:val="el-GR"/>
        </w:rPr>
        <w:t xml:space="preserve"> με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βάση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τη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δήλωση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φορολογίας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</w:t>
      </w:r>
      <w:proofErr w:type="spellStart"/>
      <w:r w:rsidR="0080354D" w:rsidRPr="00637F0D">
        <w:rPr>
          <w:rFonts w:asciiTheme="majorHAnsi" w:hAnsiTheme="majorHAnsi" w:cs="ÄË–·˛"/>
          <w:lang w:val="el-GR"/>
        </w:rPr>
        <w:t>ε</w:t>
      </w:r>
      <w:r w:rsidR="00020941" w:rsidRPr="00637F0D">
        <w:rPr>
          <w:rFonts w:asciiTheme="majorHAnsi" w:hAnsiTheme="majorHAnsi" w:cs="ÄË–·˛"/>
          <w:lang w:val="el-GR"/>
        </w:rPr>
        <w:t>ισοδήματος</w:t>
      </w:r>
      <w:proofErr w:type="spellEnd"/>
      <w:r w:rsidR="00020941" w:rsidRPr="00637F0D">
        <w:rPr>
          <w:rFonts w:asciiTheme="majorHAnsi" w:hAnsiTheme="majorHAnsi" w:cs="ÄË–·˛"/>
          <w:lang w:val="el-GR"/>
        </w:rPr>
        <w:t xml:space="preserve"> </w:t>
      </w:r>
      <w:proofErr w:type="spellStart"/>
      <w:r w:rsidR="00020941" w:rsidRPr="00637F0D">
        <w:rPr>
          <w:rFonts w:asciiTheme="majorHAnsi" w:hAnsiTheme="majorHAnsi" w:cs="ÄË–·˛"/>
          <w:lang w:val="el-GR"/>
        </w:rPr>
        <w:t>φορολογικου</w:t>
      </w:r>
      <w:proofErr w:type="spellEnd"/>
      <w:r w:rsidR="00020941" w:rsidRPr="00637F0D">
        <w:rPr>
          <w:rFonts w:asciiTheme="majorHAnsi" w:hAnsiTheme="majorHAnsi" w:cs="ÄË–·˛"/>
          <w:lang w:val="el-GR"/>
        </w:rPr>
        <w:t xml:space="preserve">́ </w:t>
      </w:r>
      <w:proofErr w:type="spellStart"/>
      <w:r w:rsidR="00020941" w:rsidRPr="00637F0D">
        <w:rPr>
          <w:rFonts w:asciiTheme="majorHAnsi" w:hAnsiTheme="majorHAnsi" w:cs="ÄË–·˛"/>
          <w:lang w:val="el-GR"/>
        </w:rPr>
        <w:t>έτους</w:t>
      </w:r>
      <w:proofErr w:type="spellEnd"/>
      <w:r w:rsidR="0080354D" w:rsidRPr="00637F0D">
        <w:rPr>
          <w:rFonts w:asciiTheme="majorHAnsi" w:hAnsiTheme="majorHAnsi" w:cs="ÄË–·˛"/>
          <w:lang w:val="el-GR"/>
        </w:rPr>
        <w:t xml:space="preserve"> 2019)  </w:t>
      </w:r>
      <w:r w:rsidR="00F70818" w:rsidRPr="00637F0D">
        <w:rPr>
          <w:rFonts w:asciiTheme="majorHAnsi" w:hAnsiTheme="majorHAnsi" w:cs="ÄË–·˛"/>
          <w:lang w:val="el-GR"/>
        </w:rPr>
        <w:t xml:space="preserve"> </w:t>
      </w:r>
      <w:r w:rsidR="00F70818" w:rsidRPr="00637F0D">
        <w:rPr>
          <w:rFonts w:asciiTheme="majorHAnsi" w:hAnsiTheme="majorHAnsi" w:cs="ÄË–·˛"/>
          <w:b/>
          <w:lang w:val="el-GR"/>
        </w:rPr>
        <w:t>ή</w:t>
      </w:r>
      <w:r w:rsidR="00F70818" w:rsidRPr="00637F0D">
        <w:rPr>
          <w:rFonts w:asciiTheme="majorHAnsi" w:hAnsiTheme="majorHAnsi" w:cs="ÄË–·˛"/>
          <w:lang w:val="el-GR"/>
        </w:rPr>
        <w:t xml:space="preserve"> β) </w:t>
      </w:r>
      <w:r w:rsidR="00F70818" w:rsidRPr="00637F0D">
        <w:rPr>
          <w:rFonts w:asciiTheme="majorHAnsi" w:hAnsiTheme="majorHAnsi" w:cs="ÄË–·˛"/>
          <w:b/>
          <w:lang w:val="el-GR"/>
        </w:rPr>
        <w:t>εκδί</w:t>
      </w:r>
      <w:bookmarkStart w:id="0" w:name="_GoBack"/>
      <w:bookmarkEnd w:id="0"/>
      <w:r w:rsidR="00F70818" w:rsidRPr="00637F0D">
        <w:rPr>
          <w:rFonts w:asciiTheme="majorHAnsi" w:hAnsiTheme="majorHAnsi" w:cs="ÄË–·˛"/>
          <w:b/>
          <w:lang w:val="el-GR"/>
        </w:rPr>
        <w:t>δουν έως και πενήντα (50) τιμολόγ</w:t>
      </w:r>
      <w:r w:rsidR="00220FB1" w:rsidRPr="00637F0D">
        <w:rPr>
          <w:rFonts w:asciiTheme="majorHAnsi" w:hAnsiTheme="majorHAnsi" w:cs="ÄË–·˛"/>
          <w:b/>
          <w:lang w:val="el-GR"/>
        </w:rPr>
        <w:t>ια</w:t>
      </w:r>
      <w:r w:rsidR="00220FB1" w:rsidRPr="00637F0D">
        <w:rPr>
          <w:rFonts w:asciiTheme="majorHAnsi" w:hAnsiTheme="majorHAnsi" w:cs="ÄË–·˛"/>
          <w:lang w:val="el-GR"/>
        </w:rPr>
        <w:t xml:space="preserve"> </w:t>
      </w:r>
      <w:r w:rsidR="00220FB1" w:rsidRPr="00637F0D">
        <w:rPr>
          <w:rFonts w:asciiTheme="majorHAnsi" w:hAnsiTheme="majorHAnsi" w:cs="ÄË–·˛"/>
          <w:b/>
          <w:lang w:val="el-GR"/>
        </w:rPr>
        <w:t>πώλησης ετησίως</w:t>
      </w:r>
      <w:r w:rsidR="00220FB1" w:rsidRPr="00637F0D">
        <w:rPr>
          <w:rFonts w:asciiTheme="majorHAnsi" w:hAnsiTheme="majorHAnsi" w:cs="ÄË–·˛"/>
          <w:lang w:val="el-GR"/>
        </w:rPr>
        <w:t xml:space="preserve"> (όχι </w:t>
      </w:r>
      <w:proofErr w:type="spellStart"/>
      <w:r w:rsidR="00220FB1" w:rsidRPr="00637F0D">
        <w:rPr>
          <w:rFonts w:asciiTheme="majorHAnsi" w:hAnsiTheme="majorHAnsi" w:cs="ÄË–·˛"/>
          <w:lang w:val="el-GR"/>
        </w:rPr>
        <w:t>Α.Π.Υ</w:t>
      </w:r>
      <w:proofErr w:type="spellEnd"/>
      <w:r w:rsidR="00220FB1" w:rsidRPr="00637F0D">
        <w:rPr>
          <w:rFonts w:asciiTheme="majorHAnsi" w:hAnsiTheme="majorHAnsi" w:cs="ÄË–·˛"/>
          <w:lang w:val="el-GR"/>
        </w:rPr>
        <w:t>.)</w:t>
      </w:r>
      <w:r w:rsidR="00DF5BAD" w:rsidRPr="00637F0D">
        <w:rPr>
          <w:rFonts w:asciiTheme="majorHAnsi" w:hAnsiTheme="majorHAnsi" w:cs="ÄË–·˛"/>
          <w:lang w:val="el-GR"/>
        </w:rPr>
        <w:t xml:space="preserve"> </w:t>
      </w:r>
      <w:r w:rsidR="00DF5BAD" w:rsidRPr="00637F0D">
        <w:rPr>
          <w:rFonts w:asciiTheme="majorHAnsi" w:hAnsiTheme="majorHAnsi" w:cs="ÄË–·˛"/>
          <w:b/>
          <w:lang w:val="el-GR"/>
        </w:rPr>
        <w:t>ανεξαρτήτως λογιστικού συστήματος</w:t>
      </w:r>
      <w:r w:rsidR="00220FB1" w:rsidRPr="00637F0D">
        <w:rPr>
          <w:rFonts w:asciiTheme="majorHAnsi" w:hAnsiTheme="majorHAnsi" w:cs="ÄË–·˛"/>
          <w:lang w:val="el-GR"/>
        </w:rPr>
        <w:t xml:space="preserve">. </w:t>
      </w:r>
      <w:r w:rsidR="006307B4">
        <w:rPr>
          <w:rFonts w:asciiTheme="majorHAnsi" w:hAnsiTheme="majorHAnsi" w:cs="ÄË–·˛"/>
          <w:lang w:val="el-GR"/>
        </w:rPr>
        <w:t>Το πλήθος των τιμολογίων προσδιορίζεται</w:t>
      </w:r>
      <w:r w:rsidR="00DF5BAD" w:rsidRPr="00637F0D">
        <w:rPr>
          <w:rFonts w:asciiTheme="majorHAnsi" w:hAnsiTheme="majorHAnsi" w:cs="ÄË–·˛"/>
          <w:lang w:val="el-GR"/>
        </w:rPr>
        <w:t xml:space="preserve"> με βάση τα δεδομένα που έχουν διαβιβαστεί στην πλατφόρμα μέχρι το τέλος του προηγούμενου έτους. </w:t>
      </w:r>
      <w:r w:rsidR="00C136A9" w:rsidRPr="00637F0D">
        <w:rPr>
          <w:rFonts w:asciiTheme="majorHAnsi" w:hAnsiTheme="majorHAnsi" w:cs="ÄË–·˛"/>
          <w:lang w:val="el-GR"/>
        </w:rPr>
        <w:t>Για το 2021 το πλήθος των τιμολογίων προσ</w:t>
      </w:r>
      <w:r w:rsidR="006307B4">
        <w:rPr>
          <w:rFonts w:asciiTheme="majorHAnsi" w:hAnsiTheme="majorHAnsi" w:cs="ÄË–·˛"/>
          <w:lang w:val="el-GR"/>
        </w:rPr>
        <w:t>διορίζεται</w:t>
      </w:r>
      <w:r w:rsidR="00C136A9" w:rsidRPr="00637F0D">
        <w:rPr>
          <w:rFonts w:asciiTheme="majorHAnsi" w:hAnsiTheme="majorHAnsi" w:cs="ÄË–·˛"/>
          <w:lang w:val="el-GR"/>
        </w:rPr>
        <w:t xml:space="preserve"> με βάση τις υποβληθείσες καταστάσεις φορολογικών στοιχείων πελατών</w:t>
      </w:r>
      <w:r w:rsidR="00946B27">
        <w:rPr>
          <w:rFonts w:asciiTheme="majorHAnsi" w:hAnsiTheme="majorHAnsi" w:cs="ÄË–·˛"/>
          <w:lang w:val="el-GR"/>
        </w:rPr>
        <w:t>.</w:t>
      </w:r>
      <w:r w:rsidR="00C136A9" w:rsidRPr="00637F0D">
        <w:rPr>
          <w:rFonts w:asciiTheme="majorHAnsi" w:hAnsiTheme="majorHAnsi" w:cs="ÄË–·˛"/>
          <w:lang w:val="el-GR"/>
        </w:rPr>
        <w:t xml:space="preserve"> </w:t>
      </w:r>
    </w:p>
    <w:p w14:paraId="2ECA2E73" w14:textId="22FFD09A" w:rsidR="009324CB" w:rsidRPr="00CD45F8" w:rsidRDefault="00220FB1" w:rsidP="005B683C">
      <w:pPr>
        <w:pStyle w:val="ListParagraph"/>
        <w:ind w:left="1276"/>
        <w:jc w:val="both"/>
        <w:rPr>
          <w:rFonts w:asciiTheme="majorHAnsi" w:hAnsiTheme="majorHAnsi" w:cs="ÄË–·˛"/>
          <w:lang w:val="el-GR"/>
        </w:rPr>
      </w:pPr>
      <w:r w:rsidRPr="00CD45F8">
        <w:rPr>
          <w:rFonts w:asciiTheme="majorHAnsi" w:hAnsiTheme="majorHAnsi" w:cs="ÄË–·˛"/>
          <w:lang w:val="el-GR"/>
        </w:rPr>
        <w:t xml:space="preserve">Παραθέτουμε </w:t>
      </w:r>
      <w:r w:rsidR="005C1C50">
        <w:rPr>
          <w:rFonts w:asciiTheme="majorHAnsi" w:hAnsiTheme="majorHAnsi" w:cs="ÄË–·˛"/>
          <w:lang w:val="el-GR"/>
        </w:rPr>
        <w:t>κατωτέρω</w:t>
      </w:r>
      <w:r w:rsidR="005C1C50" w:rsidRPr="00CD45F8">
        <w:rPr>
          <w:rFonts w:asciiTheme="majorHAnsi" w:hAnsiTheme="majorHAnsi" w:cs="ÄË–·˛"/>
          <w:lang w:val="el-GR"/>
        </w:rPr>
        <w:t xml:space="preserve"> </w:t>
      </w:r>
      <w:r w:rsidRPr="00CD45F8">
        <w:rPr>
          <w:rFonts w:asciiTheme="majorHAnsi" w:hAnsiTheme="majorHAnsi" w:cs="ÄË–·˛"/>
          <w:lang w:val="el-GR"/>
        </w:rPr>
        <w:t xml:space="preserve">το σχετικό </w:t>
      </w:r>
      <w:r w:rsidRPr="00CD45F8">
        <w:rPr>
          <w:rFonts w:asciiTheme="majorHAnsi" w:hAnsiTheme="majorHAnsi" w:cs="ÄË–·˛"/>
        </w:rPr>
        <w:t xml:space="preserve">link </w:t>
      </w:r>
      <w:r w:rsidRPr="00CD45F8">
        <w:rPr>
          <w:rFonts w:asciiTheme="majorHAnsi" w:hAnsiTheme="majorHAnsi" w:cs="ÄË–·˛"/>
          <w:lang w:val="el-GR"/>
        </w:rPr>
        <w:t>για την εφαρμογή</w:t>
      </w:r>
      <w:r w:rsidR="009324CB" w:rsidRPr="00CD45F8">
        <w:rPr>
          <w:rFonts w:asciiTheme="majorHAnsi" w:hAnsiTheme="majorHAnsi" w:cs="ÄË–·˛"/>
          <w:lang w:val="el-GR"/>
        </w:rPr>
        <w:t xml:space="preserve"> στο οποίο μπορείτε να βρείτε περισσότερες πληροφορίες</w:t>
      </w:r>
      <w:r w:rsidRPr="00CD45F8">
        <w:rPr>
          <w:rFonts w:asciiTheme="majorHAnsi" w:hAnsiTheme="majorHAnsi" w:cs="ÄË–·˛"/>
          <w:lang w:val="el-GR"/>
        </w:rPr>
        <w:t>:</w:t>
      </w:r>
      <w:r w:rsidR="005C1C50">
        <w:rPr>
          <w:rFonts w:asciiTheme="majorHAnsi" w:hAnsiTheme="majorHAnsi" w:cs="ÄË–·˛"/>
          <w:lang w:val="el-GR"/>
        </w:rPr>
        <w:t xml:space="preserve"> </w:t>
      </w:r>
    </w:p>
    <w:p w14:paraId="0A949A9D" w14:textId="7AF38B15" w:rsidR="00220FB1" w:rsidRDefault="003A5A27" w:rsidP="005B683C">
      <w:pPr>
        <w:pStyle w:val="ListParagraph"/>
        <w:ind w:left="1276"/>
        <w:jc w:val="both"/>
        <w:rPr>
          <w:rFonts w:asciiTheme="majorHAnsi" w:hAnsiTheme="majorHAnsi" w:cs="ÄË–·˛"/>
        </w:rPr>
      </w:pPr>
      <w:hyperlink r:id="rId11" w:history="1">
        <w:r w:rsidR="00220FB1" w:rsidRPr="00CD45F8">
          <w:rPr>
            <w:rStyle w:val="Hyperlink"/>
            <w:rFonts w:asciiTheme="majorHAnsi" w:hAnsiTheme="majorHAnsi" w:cs="ÄË–·˛"/>
          </w:rPr>
          <w:t>https://www.aade.gr/epiheiriseis/mydata-ilektronika-biblia-aade/eidiki-forma-katahorisis-diabibasi-parastatikon</w:t>
        </w:r>
      </w:hyperlink>
      <w:r w:rsidR="00220FB1" w:rsidRPr="00CD45F8">
        <w:rPr>
          <w:rFonts w:asciiTheme="majorHAnsi" w:hAnsiTheme="majorHAnsi" w:cs="ÄË–·˛"/>
        </w:rPr>
        <w:t xml:space="preserve"> </w:t>
      </w:r>
    </w:p>
    <w:p w14:paraId="63649974" w14:textId="77777777" w:rsidR="00DE7BA6" w:rsidRDefault="00DE7BA6" w:rsidP="00F8207D">
      <w:pPr>
        <w:pStyle w:val="ListParagraph"/>
        <w:jc w:val="both"/>
        <w:rPr>
          <w:rFonts w:asciiTheme="majorHAnsi" w:hAnsiTheme="majorHAnsi" w:cs="ÄË–·˛"/>
        </w:rPr>
      </w:pPr>
    </w:p>
    <w:p w14:paraId="6D91C0C5" w14:textId="136290E0" w:rsidR="00A10261" w:rsidRDefault="00934E87" w:rsidP="00DE7BA6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>Συνεπώς</w:t>
      </w:r>
      <w:r w:rsidR="005B683C">
        <w:rPr>
          <w:rFonts w:asciiTheme="majorHAnsi" w:hAnsiTheme="majorHAnsi" w:cs="ÄË–·˛"/>
          <w:lang w:val="el-GR"/>
        </w:rPr>
        <w:t>,</w:t>
      </w:r>
      <w:r w:rsidR="00DE7BA6" w:rsidRPr="00A37416">
        <w:rPr>
          <w:rFonts w:asciiTheme="majorHAnsi" w:hAnsiTheme="majorHAnsi" w:cs="ÄË–·˛"/>
          <w:lang w:val="el-GR"/>
        </w:rPr>
        <w:t xml:space="preserve"> </w:t>
      </w:r>
      <w:r w:rsidR="00DE7BA6" w:rsidRPr="005B683C">
        <w:rPr>
          <w:rFonts w:asciiTheme="majorHAnsi" w:hAnsiTheme="majorHAnsi" w:cs="ÄË–·˛"/>
          <w:b/>
          <w:lang w:val="el-GR"/>
        </w:rPr>
        <w:t xml:space="preserve">ο τρόπος διαβίβασης των </w:t>
      </w:r>
      <w:r w:rsidR="006B3822">
        <w:rPr>
          <w:rFonts w:asciiTheme="majorHAnsi" w:hAnsiTheme="majorHAnsi" w:cs="ÄË–·˛"/>
          <w:b/>
          <w:lang w:val="el-GR"/>
        </w:rPr>
        <w:t>δεδομένων</w:t>
      </w:r>
      <w:r w:rsidR="00DE7BA6" w:rsidRPr="005B683C">
        <w:rPr>
          <w:rFonts w:asciiTheme="majorHAnsi" w:hAnsiTheme="majorHAnsi" w:cs="ÄË–·˛"/>
          <w:b/>
          <w:lang w:val="el-GR"/>
        </w:rPr>
        <w:t xml:space="preserve"> διακρίνεται με βάση τον </w:t>
      </w:r>
      <w:r w:rsidR="006B3822">
        <w:rPr>
          <w:rFonts w:asciiTheme="majorHAnsi" w:hAnsiTheme="majorHAnsi" w:cs="ÄË–·˛"/>
          <w:b/>
          <w:lang w:val="el-GR"/>
        </w:rPr>
        <w:t xml:space="preserve">ετήσιο </w:t>
      </w:r>
      <w:r w:rsidR="00DE7BA6" w:rsidRPr="005B683C">
        <w:rPr>
          <w:rFonts w:asciiTheme="majorHAnsi" w:hAnsiTheme="majorHAnsi" w:cs="ÄË–·˛"/>
          <w:b/>
          <w:lang w:val="el-GR"/>
        </w:rPr>
        <w:t xml:space="preserve">τζίρο και </w:t>
      </w:r>
      <w:r w:rsidR="006B3822">
        <w:rPr>
          <w:rFonts w:asciiTheme="majorHAnsi" w:hAnsiTheme="majorHAnsi" w:cs="ÄË–·˛"/>
          <w:b/>
          <w:lang w:val="el-GR"/>
        </w:rPr>
        <w:t xml:space="preserve">τα </w:t>
      </w:r>
      <w:r w:rsidR="00DE7BA6" w:rsidRPr="005B683C">
        <w:rPr>
          <w:rFonts w:asciiTheme="majorHAnsi" w:hAnsiTheme="majorHAnsi" w:cs="ÄË–·˛"/>
          <w:b/>
          <w:lang w:val="el-GR"/>
        </w:rPr>
        <w:t xml:space="preserve">εκδοθέντα τιμολόγια </w:t>
      </w:r>
      <w:r w:rsidR="00DE7BA6" w:rsidRPr="00A37416">
        <w:rPr>
          <w:rFonts w:asciiTheme="majorHAnsi" w:hAnsiTheme="majorHAnsi" w:cs="ÄË–·˛"/>
          <w:lang w:val="el-GR"/>
        </w:rPr>
        <w:t>ως εξής:</w:t>
      </w:r>
    </w:p>
    <w:p w14:paraId="686C5EE4" w14:textId="77777777" w:rsidR="00637F0D" w:rsidRPr="00637F0D" w:rsidRDefault="00637F0D" w:rsidP="00637F0D">
      <w:pPr>
        <w:pStyle w:val="ListParagraph"/>
        <w:jc w:val="both"/>
        <w:rPr>
          <w:rFonts w:asciiTheme="majorHAnsi" w:hAnsiTheme="majorHAnsi" w:cs="ÄË–·˛"/>
          <w:lang w:val="el-GR"/>
        </w:rPr>
      </w:pPr>
    </w:p>
    <w:p w14:paraId="10895ACB" w14:textId="0FD2E5B4" w:rsidR="00DE7BA6" w:rsidRPr="00A37416" w:rsidRDefault="00A37416" w:rsidP="00A37416">
      <w:pPr>
        <w:ind w:left="1418" w:hanging="567"/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 xml:space="preserve">α. </w:t>
      </w:r>
      <w:r>
        <w:rPr>
          <w:rFonts w:asciiTheme="majorHAnsi" w:hAnsiTheme="majorHAnsi" w:cs="ÄË–·˛"/>
          <w:lang w:val="el-GR"/>
        </w:rPr>
        <w:tab/>
      </w:r>
      <w:r w:rsidR="00A10261" w:rsidRPr="00A37416">
        <w:rPr>
          <w:rFonts w:asciiTheme="majorHAnsi" w:hAnsiTheme="majorHAnsi" w:cs="ÄË–·˛"/>
          <w:lang w:val="el-GR"/>
        </w:rPr>
        <w:t xml:space="preserve">Αν τα ετήσια ακαθάριστα έσοδά υπερβαίνουν </w:t>
      </w:r>
      <w:r w:rsidR="00C878B8" w:rsidRPr="00A37416">
        <w:rPr>
          <w:rFonts w:asciiTheme="majorHAnsi" w:hAnsiTheme="majorHAnsi" w:cs="ÄË–·˛"/>
          <w:lang w:val="el-GR"/>
        </w:rPr>
        <w:t xml:space="preserve">τις </w:t>
      </w:r>
      <w:r w:rsidR="00A10261" w:rsidRPr="00A37416">
        <w:rPr>
          <w:rFonts w:asciiTheme="majorHAnsi" w:hAnsiTheme="majorHAnsi" w:cs="ÄË–·˛"/>
          <w:lang w:val="el-GR"/>
        </w:rPr>
        <w:t>50.000 ευρώ</w:t>
      </w:r>
      <w:r w:rsidR="00E86AA7">
        <w:rPr>
          <w:rFonts w:asciiTheme="majorHAnsi" w:hAnsiTheme="majorHAnsi" w:cs="ÄË–·˛"/>
          <w:lang w:val="el-GR"/>
        </w:rPr>
        <w:t xml:space="preserve"> ή/και</w:t>
      </w:r>
      <w:r w:rsidR="009B2205">
        <w:rPr>
          <w:rFonts w:asciiTheme="majorHAnsi" w:hAnsiTheme="majorHAnsi" w:cs="ÄË–·˛"/>
          <w:lang w:val="el-GR"/>
        </w:rPr>
        <w:t xml:space="preserve"> τηρείται</w:t>
      </w:r>
      <w:r w:rsidR="00E86AA7">
        <w:rPr>
          <w:rFonts w:asciiTheme="majorHAnsi" w:hAnsiTheme="majorHAnsi" w:cs="ÄË–·˛"/>
          <w:lang w:val="el-GR"/>
        </w:rPr>
        <w:t xml:space="preserve"> διπλογραφικό λογιστικό σύστημα</w:t>
      </w:r>
      <w:r w:rsidR="00A10261" w:rsidRPr="00A37416">
        <w:rPr>
          <w:rFonts w:asciiTheme="majorHAnsi" w:hAnsiTheme="majorHAnsi" w:cs="ÄË–·˛"/>
          <w:lang w:val="el-GR"/>
        </w:rPr>
        <w:t xml:space="preserve"> και </w:t>
      </w:r>
      <w:r w:rsidR="00C9112A" w:rsidRPr="00A37416">
        <w:rPr>
          <w:rFonts w:asciiTheme="majorHAnsi" w:hAnsiTheme="majorHAnsi" w:cs="ÄË–·˛"/>
          <w:lang w:val="el-GR"/>
        </w:rPr>
        <w:t>(</w:t>
      </w:r>
      <w:r w:rsidR="00D01D74" w:rsidRPr="00A37416">
        <w:rPr>
          <w:rFonts w:asciiTheme="majorHAnsi" w:hAnsiTheme="majorHAnsi" w:cs="ÄË–·˛"/>
          <w:lang w:val="el-GR"/>
        </w:rPr>
        <w:t>σωρευτικά</w:t>
      </w:r>
      <w:r w:rsidR="00C9112A" w:rsidRPr="00A37416">
        <w:rPr>
          <w:rFonts w:asciiTheme="majorHAnsi" w:hAnsiTheme="majorHAnsi" w:cs="ÄË–·˛"/>
          <w:lang w:val="el-GR"/>
        </w:rPr>
        <w:t>)</w:t>
      </w:r>
      <w:r w:rsidR="00D01D74" w:rsidRPr="00A37416">
        <w:rPr>
          <w:rFonts w:asciiTheme="majorHAnsi" w:hAnsiTheme="majorHAnsi" w:cs="ÄË–·˛"/>
          <w:lang w:val="el-GR"/>
        </w:rPr>
        <w:t xml:space="preserve"> </w:t>
      </w:r>
      <w:r w:rsidR="00A10261" w:rsidRPr="00A37416">
        <w:rPr>
          <w:rFonts w:asciiTheme="majorHAnsi" w:hAnsiTheme="majorHAnsi" w:cs="ÄË–·˛"/>
          <w:lang w:val="el-GR"/>
        </w:rPr>
        <w:t xml:space="preserve">εκδίδονται πάνω από (50) τιμολόγια πώλησης ετησίως (όχι </w:t>
      </w:r>
      <w:proofErr w:type="spellStart"/>
      <w:r w:rsidR="00A10261" w:rsidRPr="00A37416">
        <w:rPr>
          <w:rFonts w:asciiTheme="majorHAnsi" w:hAnsiTheme="majorHAnsi" w:cs="ÄË–·˛"/>
          <w:lang w:val="el-GR"/>
        </w:rPr>
        <w:t>Α.Π.Υ</w:t>
      </w:r>
      <w:proofErr w:type="spellEnd"/>
      <w:r w:rsidR="00A10261" w:rsidRPr="00A37416">
        <w:rPr>
          <w:rFonts w:asciiTheme="majorHAnsi" w:hAnsiTheme="majorHAnsi" w:cs="ÄË–·˛"/>
          <w:lang w:val="el-GR"/>
        </w:rPr>
        <w:t xml:space="preserve">.) δύνανται να χρησιμοποιηθούν </w:t>
      </w:r>
      <w:r w:rsidR="00A10261" w:rsidRPr="004D519E">
        <w:rPr>
          <w:rFonts w:asciiTheme="majorHAnsi" w:hAnsiTheme="majorHAnsi" w:cs="ÄË–·˛"/>
          <w:lang w:val="el-GR"/>
        </w:rPr>
        <w:t xml:space="preserve">μόνο </w:t>
      </w:r>
      <w:r w:rsidR="00D36B3B" w:rsidRPr="004D519E">
        <w:rPr>
          <w:rFonts w:asciiTheme="majorHAnsi" w:hAnsiTheme="majorHAnsi" w:cs="ÄË–·˛"/>
          <w:vanish/>
          <w:lang w:val="el-GR"/>
        </w:rPr>
        <w:t>:I. ΚΕΣ ΠΑΡΑΤΗΡΗΣΕΙΣριπτως εί) δδ</w:t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D36B3B" w:rsidRPr="004D519E">
        <w:rPr>
          <w:rFonts w:asciiTheme="majorHAnsi" w:hAnsiTheme="majorHAnsi" w:cs="ÄË–·˛"/>
          <w:vanish/>
          <w:lang w:val="el-GR"/>
        </w:rPr>
        <w:pgNum/>
      </w:r>
      <w:r w:rsidR="004D519E" w:rsidRPr="004D519E">
        <w:rPr>
          <w:rFonts w:asciiTheme="majorHAnsi" w:hAnsiTheme="majorHAnsi" w:cs="ÄË–·˛"/>
          <w:lang w:val="el-GR"/>
        </w:rPr>
        <w:t>οι άνω επιλογές 1-3</w:t>
      </w:r>
      <w:r w:rsidR="00A10261" w:rsidRPr="004D519E">
        <w:rPr>
          <w:rFonts w:asciiTheme="majorHAnsi" w:hAnsiTheme="majorHAnsi" w:cs="ÄË–·˛"/>
          <w:lang w:val="el-GR"/>
        </w:rPr>
        <w:t xml:space="preserve"> </w:t>
      </w:r>
      <w:r w:rsidR="00D01D74" w:rsidRPr="004D519E">
        <w:rPr>
          <w:rFonts w:asciiTheme="majorHAnsi" w:hAnsiTheme="majorHAnsi" w:cs="ÄË–·˛"/>
          <w:lang w:val="el-GR"/>
        </w:rPr>
        <w:t>(όχι η επιλογή 4)</w:t>
      </w:r>
      <w:r w:rsidR="00C9112A" w:rsidRPr="004D519E">
        <w:rPr>
          <w:rFonts w:asciiTheme="majorHAnsi" w:hAnsiTheme="majorHAnsi" w:cs="ÄË–·˛"/>
          <w:lang w:val="el-GR"/>
        </w:rPr>
        <w:t xml:space="preserve"> για την διαβίβαση δεδομένων</w:t>
      </w:r>
      <w:r w:rsidR="00A10261" w:rsidRPr="004D519E">
        <w:rPr>
          <w:rFonts w:asciiTheme="majorHAnsi" w:hAnsiTheme="majorHAnsi" w:cs="ÄË–·˛"/>
          <w:lang w:val="el-GR"/>
        </w:rPr>
        <w:t>.</w:t>
      </w:r>
    </w:p>
    <w:p w14:paraId="75B5557D" w14:textId="3DDCA302" w:rsidR="009C71D7" w:rsidRDefault="00A37416" w:rsidP="00671153">
      <w:pPr>
        <w:ind w:left="1418" w:hanging="567"/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 xml:space="preserve">β. </w:t>
      </w:r>
      <w:r>
        <w:rPr>
          <w:rFonts w:asciiTheme="majorHAnsi" w:hAnsiTheme="majorHAnsi" w:cs="ÄË–·˛"/>
          <w:lang w:val="el-GR"/>
        </w:rPr>
        <w:tab/>
      </w:r>
      <w:r w:rsidR="00A10261" w:rsidRPr="00A37416">
        <w:rPr>
          <w:rFonts w:asciiTheme="majorHAnsi" w:hAnsiTheme="majorHAnsi" w:cs="ÄË–·˛"/>
          <w:lang w:val="el-GR"/>
        </w:rPr>
        <w:t>Σε όλες τις άλλες περιπτώσεις</w:t>
      </w:r>
      <w:r w:rsidR="004D519E">
        <w:rPr>
          <w:rFonts w:asciiTheme="majorHAnsi" w:hAnsiTheme="majorHAnsi" w:cs="ÄË–·˛"/>
          <w:lang w:val="el-GR"/>
        </w:rPr>
        <w:t xml:space="preserve"> τα δικηγορικά γραφεία</w:t>
      </w:r>
      <w:r w:rsidR="00B76F87">
        <w:rPr>
          <w:rFonts w:asciiTheme="majorHAnsi" w:hAnsiTheme="majorHAnsi" w:cs="ÄË–·˛"/>
          <w:lang w:val="el-GR"/>
        </w:rPr>
        <w:t>/εταιρείες</w:t>
      </w:r>
      <w:r w:rsidR="00A10261" w:rsidRPr="00A37416">
        <w:rPr>
          <w:rFonts w:asciiTheme="majorHAnsi" w:hAnsiTheme="majorHAnsi" w:cs="ÄË–·˛"/>
          <w:lang w:val="el-GR"/>
        </w:rPr>
        <w:t xml:space="preserve"> μπορούν να ε</w:t>
      </w:r>
      <w:r w:rsidR="007D40F0">
        <w:rPr>
          <w:rFonts w:asciiTheme="majorHAnsi" w:hAnsiTheme="majorHAnsi" w:cs="ÄË–·˛"/>
          <w:lang w:val="el-GR"/>
        </w:rPr>
        <w:t>πιλέξουν οποιαδήποτε από τις ανωτέρω</w:t>
      </w:r>
      <w:r w:rsidR="00A10261" w:rsidRPr="00A37416">
        <w:rPr>
          <w:rFonts w:asciiTheme="majorHAnsi" w:hAnsiTheme="majorHAnsi" w:cs="ÄË–·˛"/>
          <w:lang w:val="el-GR"/>
        </w:rPr>
        <w:t xml:space="preserve"> επιλογές</w:t>
      </w:r>
      <w:r w:rsidR="00A2234C">
        <w:rPr>
          <w:rFonts w:asciiTheme="majorHAnsi" w:hAnsiTheme="majorHAnsi" w:cs="ÄË–·˛"/>
          <w:lang w:val="el-GR"/>
        </w:rPr>
        <w:t xml:space="preserve"> διαβίβασης</w:t>
      </w:r>
      <w:r w:rsidRPr="00A37416">
        <w:rPr>
          <w:rFonts w:asciiTheme="majorHAnsi" w:hAnsiTheme="majorHAnsi" w:cs="ÄË–·˛"/>
          <w:lang w:val="el-GR"/>
        </w:rPr>
        <w:t xml:space="preserve"> (1 - 4)</w:t>
      </w:r>
      <w:r w:rsidR="00A10261" w:rsidRPr="00A37416">
        <w:rPr>
          <w:rFonts w:asciiTheme="majorHAnsi" w:hAnsiTheme="majorHAnsi" w:cs="ÄË–·˛"/>
          <w:lang w:val="el-GR"/>
        </w:rPr>
        <w:t>.</w:t>
      </w:r>
    </w:p>
    <w:p w14:paraId="328F8776" w14:textId="77777777" w:rsidR="00BA366A" w:rsidRDefault="00BA366A" w:rsidP="00671153">
      <w:pPr>
        <w:ind w:left="1418" w:hanging="567"/>
        <w:jc w:val="both"/>
        <w:rPr>
          <w:rFonts w:asciiTheme="majorHAnsi" w:hAnsiTheme="majorHAnsi" w:cs="ÄË–·˛"/>
          <w:lang w:val="el-GR"/>
        </w:rPr>
      </w:pPr>
    </w:p>
    <w:p w14:paraId="6D26E4BC" w14:textId="7EA6B4CB" w:rsidR="003A5A27" w:rsidRDefault="00A43ACB" w:rsidP="00BA366A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>Όσοι</w:t>
      </w:r>
      <w:r w:rsidR="003A5A27">
        <w:rPr>
          <w:rFonts w:asciiTheme="majorHAnsi" w:hAnsiTheme="majorHAnsi" w:cs="ÄË–·˛"/>
          <w:lang w:val="el-GR"/>
        </w:rPr>
        <w:t xml:space="preserve"> επιλέξουν την </w:t>
      </w:r>
      <w:r w:rsidR="003A5A27" w:rsidRPr="003A5A27">
        <w:rPr>
          <w:rFonts w:asciiTheme="majorHAnsi" w:hAnsiTheme="majorHAnsi" w:cs="ÄË–·˛"/>
          <w:b/>
          <w:lang w:val="el-GR"/>
        </w:rPr>
        <w:t xml:space="preserve">ηλεκτρονική τιμολόγηση μέσω πιστοποιημένου </w:t>
      </w:r>
      <w:proofErr w:type="spellStart"/>
      <w:r w:rsidR="003A5A27" w:rsidRPr="003A5A27">
        <w:rPr>
          <w:rFonts w:asciiTheme="majorHAnsi" w:hAnsiTheme="majorHAnsi" w:cs="ÄË–·˛"/>
          <w:b/>
          <w:lang w:val="el-GR"/>
        </w:rPr>
        <w:t>παρόχου</w:t>
      </w:r>
      <w:proofErr w:type="spellEnd"/>
      <w:r w:rsidR="003A5A27" w:rsidRPr="003A5A27">
        <w:rPr>
          <w:rFonts w:asciiTheme="majorHAnsi" w:hAnsiTheme="majorHAnsi" w:cs="ÄË–·˛"/>
          <w:b/>
          <w:lang w:val="el-GR"/>
        </w:rPr>
        <w:t xml:space="preserve"> (επιλογή 1)</w:t>
      </w:r>
      <w:r w:rsidR="003A5A27">
        <w:rPr>
          <w:rFonts w:asciiTheme="majorHAnsi" w:hAnsiTheme="majorHAnsi" w:cs="ÄË–·˛"/>
          <w:b/>
          <w:lang w:val="el-GR"/>
        </w:rPr>
        <w:t xml:space="preserve"> </w:t>
      </w:r>
      <w:r w:rsidR="003A5A27">
        <w:rPr>
          <w:rFonts w:asciiTheme="majorHAnsi" w:hAnsiTheme="majorHAnsi" w:cs="ÄË–·˛"/>
          <w:lang w:val="el-GR"/>
        </w:rPr>
        <w:t xml:space="preserve">επωφελούνται </w:t>
      </w:r>
      <w:r w:rsidR="00257F5E">
        <w:rPr>
          <w:rFonts w:asciiTheme="majorHAnsi" w:hAnsiTheme="majorHAnsi" w:cs="ÄË–·˛"/>
          <w:lang w:val="el-GR"/>
        </w:rPr>
        <w:t>από τα κίνη</w:t>
      </w:r>
      <w:r w:rsidR="003A5A27">
        <w:rPr>
          <w:rFonts w:asciiTheme="majorHAnsi" w:hAnsiTheme="majorHAnsi" w:cs="ÄË–·˛"/>
          <w:lang w:val="el-GR"/>
        </w:rPr>
        <w:t>τρ</w:t>
      </w:r>
      <w:r w:rsidR="00257F5E">
        <w:rPr>
          <w:rFonts w:asciiTheme="majorHAnsi" w:hAnsiTheme="majorHAnsi" w:cs="ÄË–·˛"/>
          <w:lang w:val="el-GR"/>
        </w:rPr>
        <w:t>α</w:t>
      </w:r>
      <w:r w:rsidR="003A5A27">
        <w:rPr>
          <w:rFonts w:asciiTheme="majorHAnsi" w:hAnsiTheme="majorHAnsi" w:cs="ÄË–·˛"/>
          <w:lang w:val="el-GR"/>
        </w:rPr>
        <w:t xml:space="preserve"> που παρέχονται από το άρθρο </w:t>
      </w:r>
      <w:proofErr w:type="spellStart"/>
      <w:r w:rsidR="003A5A27">
        <w:rPr>
          <w:rFonts w:asciiTheme="majorHAnsi" w:hAnsiTheme="majorHAnsi" w:cs="ÄË–·˛"/>
          <w:lang w:val="el-GR"/>
        </w:rPr>
        <w:t>71ΣΤ</w:t>
      </w:r>
      <w:proofErr w:type="spellEnd"/>
      <w:r w:rsidR="003A5A27">
        <w:rPr>
          <w:rFonts w:asciiTheme="majorHAnsi" w:hAnsiTheme="majorHAnsi" w:cs="ÄË–·˛"/>
          <w:lang w:val="el-GR"/>
        </w:rPr>
        <w:t xml:space="preserve"> του Ν.</w:t>
      </w:r>
      <w:r w:rsidR="00A020E1">
        <w:rPr>
          <w:rFonts w:asciiTheme="majorHAnsi" w:hAnsiTheme="majorHAnsi" w:cs="ÄË–·˛"/>
          <w:lang w:val="el-GR"/>
        </w:rPr>
        <w:t xml:space="preserve"> </w:t>
      </w:r>
      <w:r w:rsidR="003A5A27">
        <w:rPr>
          <w:rFonts w:asciiTheme="majorHAnsi" w:hAnsiTheme="majorHAnsi" w:cs="ÄË–·˛"/>
          <w:lang w:val="el-GR"/>
        </w:rPr>
        <w:t>4172/2013</w:t>
      </w:r>
      <w:r w:rsidR="00320CA3">
        <w:rPr>
          <w:rFonts w:asciiTheme="majorHAnsi" w:hAnsiTheme="majorHAnsi" w:cs="ÄË–·˛"/>
          <w:vanish/>
          <w:lang w:val="el-GR"/>
        </w:rPr>
        <w:t>ε﷽﷽﷽﷽﷽﷽﷽﷽α των τιμολογίων με άλλο τρ</w:t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320CA3">
        <w:rPr>
          <w:rFonts w:asciiTheme="majorHAnsi" w:hAnsiTheme="majorHAnsi" w:cs="ÄË–·˛"/>
          <w:vanish/>
          <w:lang w:val="el-GR"/>
        </w:rPr>
        <w:pgNum/>
      </w:r>
      <w:r w:rsidR="00257F5E">
        <w:rPr>
          <w:rFonts w:asciiTheme="majorHAnsi" w:hAnsiTheme="majorHAnsi" w:cs="ÄË–·˛"/>
          <w:lang w:val="el-GR"/>
        </w:rPr>
        <w:t xml:space="preserve">. </w:t>
      </w:r>
      <w:r w:rsidR="003A5A27">
        <w:rPr>
          <w:rFonts w:asciiTheme="majorHAnsi" w:hAnsiTheme="majorHAnsi" w:cs="ÄË–·˛"/>
          <w:lang w:val="el-GR"/>
        </w:rPr>
        <w:t>Συγκεκριμένα</w:t>
      </w:r>
      <w:r w:rsidR="004357D3">
        <w:rPr>
          <w:rFonts w:asciiTheme="majorHAnsi" w:hAnsiTheme="majorHAnsi" w:cs="ÄË–·˛"/>
          <w:lang w:val="el-GR"/>
        </w:rPr>
        <w:t>,</w:t>
      </w:r>
      <w:r w:rsidR="00257F5E">
        <w:rPr>
          <w:rFonts w:asciiTheme="majorHAnsi" w:hAnsiTheme="majorHAnsi" w:cs="ÄË–·˛"/>
          <w:lang w:val="el-GR"/>
        </w:rPr>
        <w:t xml:space="preserve"> </w:t>
      </w:r>
      <w:r w:rsidR="004357D3">
        <w:rPr>
          <w:rFonts w:asciiTheme="majorHAnsi" w:hAnsiTheme="majorHAnsi" w:cs="ÄË–·˛"/>
          <w:lang w:val="el-GR"/>
        </w:rPr>
        <w:t xml:space="preserve">για το </w:t>
      </w:r>
      <w:proofErr w:type="spellStart"/>
      <w:r w:rsidR="004357D3">
        <w:rPr>
          <w:rFonts w:asciiTheme="majorHAnsi" w:hAnsiTheme="majorHAnsi" w:cs="ÄË–·˛"/>
          <w:lang w:val="el-GR"/>
        </w:rPr>
        <w:t>1</w:t>
      </w:r>
      <w:r w:rsidR="004357D3" w:rsidRPr="004357D3">
        <w:rPr>
          <w:rFonts w:asciiTheme="majorHAnsi" w:hAnsiTheme="majorHAnsi" w:cs="ÄË–·˛"/>
          <w:vertAlign w:val="superscript"/>
          <w:lang w:val="el-GR"/>
        </w:rPr>
        <w:t>ο</w:t>
      </w:r>
      <w:proofErr w:type="spellEnd"/>
      <w:r w:rsidR="004357D3">
        <w:rPr>
          <w:rFonts w:asciiTheme="majorHAnsi" w:hAnsiTheme="majorHAnsi" w:cs="ÄË–·˛"/>
          <w:lang w:val="el-GR"/>
        </w:rPr>
        <w:t xml:space="preserve"> έτος εφαρμογής της ηλεκτρονικής τιμολόγησης μέσω </w:t>
      </w:r>
      <w:proofErr w:type="spellStart"/>
      <w:r w:rsidR="004357D3">
        <w:rPr>
          <w:rFonts w:asciiTheme="majorHAnsi" w:hAnsiTheme="majorHAnsi" w:cs="ÄË–·˛"/>
          <w:lang w:val="el-GR"/>
        </w:rPr>
        <w:t>παρόχου</w:t>
      </w:r>
      <w:proofErr w:type="spellEnd"/>
      <w:r w:rsidR="004357D3">
        <w:rPr>
          <w:rFonts w:asciiTheme="majorHAnsi" w:hAnsiTheme="majorHAnsi" w:cs="ÄË–·˛"/>
          <w:lang w:val="el-GR"/>
        </w:rPr>
        <w:t xml:space="preserve"> </w:t>
      </w:r>
      <w:r w:rsidR="00257F5E">
        <w:rPr>
          <w:rFonts w:asciiTheme="majorHAnsi" w:hAnsiTheme="majorHAnsi" w:cs="ÄË–·˛"/>
          <w:lang w:val="el-GR"/>
        </w:rPr>
        <w:t>μέχρι και το έτος 2022</w:t>
      </w:r>
      <w:r w:rsidR="003A5A27">
        <w:rPr>
          <w:rFonts w:asciiTheme="majorHAnsi" w:hAnsiTheme="majorHAnsi" w:cs="ÄË–·˛"/>
          <w:lang w:val="el-GR"/>
        </w:rPr>
        <w:t>:</w:t>
      </w:r>
    </w:p>
    <w:p w14:paraId="572133DF" w14:textId="5D27E91F" w:rsidR="003931DF" w:rsidRDefault="003931DF" w:rsidP="003931DF">
      <w:pPr>
        <w:ind w:left="851"/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 xml:space="preserve">α. </w:t>
      </w:r>
      <w:r>
        <w:rPr>
          <w:rFonts w:asciiTheme="majorHAnsi" w:hAnsiTheme="majorHAnsi" w:cs="ÄË–·˛"/>
          <w:lang w:val="el-GR"/>
        </w:rPr>
        <w:tab/>
      </w:r>
      <w:r w:rsidR="00DE1910">
        <w:rPr>
          <w:rFonts w:asciiTheme="majorHAnsi" w:hAnsiTheme="majorHAnsi" w:cs="ÄË–·˛"/>
          <w:lang w:val="el-GR"/>
        </w:rPr>
        <w:t>Η φορολογική παραγραφή μειώνεται από 5 σε 3 έτη</w:t>
      </w:r>
      <w:r w:rsidR="00A020E1">
        <w:rPr>
          <w:rFonts w:asciiTheme="majorHAnsi" w:hAnsiTheme="majorHAnsi" w:cs="ÄË–·˛"/>
          <w:lang w:val="el-GR"/>
        </w:rPr>
        <w:t>,</w:t>
      </w:r>
    </w:p>
    <w:p w14:paraId="2BA05BEE" w14:textId="2FA0FECC" w:rsidR="003931DF" w:rsidRDefault="003931DF" w:rsidP="003931DF">
      <w:pPr>
        <w:ind w:left="1431" w:hanging="580"/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>β.</w:t>
      </w:r>
      <w:r>
        <w:rPr>
          <w:rFonts w:asciiTheme="majorHAnsi" w:hAnsiTheme="majorHAnsi" w:cs="ÄË–·˛"/>
          <w:lang w:val="el-GR"/>
        </w:rPr>
        <w:tab/>
      </w:r>
      <w:r w:rsidR="005B41F3">
        <w:rPr>
          <w:rFonts w:asciiTheme="majorHAnsi" w:hAnsiTheme="majorHAnsi" w:cs="ÄË–·˛"/>
          <w:lang w:val="el-GR"/>
        </w:rPr>
        <w:t>Η</w:t>
      </w:r>
      <w:r w:rsidR="005B41F3" w:rsidRPr="005B41F3">
        <w:rPr>
          <w:rFonts w:asciiTheme="majorHAnsi" w:hAnsiTheme="majorHAnsi" w:cs="ÄË–·˛"/>
          <w:lang w:val="el-GR"/>
        </w:rPr>
        <w:t xml:space="preserve"> δαπάνη για την αρχική προμήθεια </w:t>
      </w:r>
      <w:r w:rsidR="005B41F3">
        <w:rPr>
          <w:rFonts w:asciiTheme="majorHAnsi" w:hAnsiTheme="majorHAnsi" w:cs="ÄË–·˛"/>
          <w:lang w:val="el-GR"/>
        </w:rPr>
        <w:t xml:space="preserve">του </w:t>
      </w:r>
      <w:r w:rsidR="005B41F3" w:rsidRPr="005B41F3">
        <w:rPr>
          <w:rFonts w:asciiTheme="majorHAnsi" w:hAnsiTheme="majorHAnsi" w:cs="ÄË–·˛"/>
          <w:lang w:val="el-GR"/>
        </w:rPr>
        <w:t>τεχ</w:t>
      </w:r>
      <w:r w:rsidR="005B41F3">
        <w:rPr>
          <w:rFonts w:asciiTheme="majorHAnsi" w:hAnsiTheme="majorHAnsi" w:cs="ÄË–·˛"/>
          <w:lang w:val="el-GR"/>
        </w:rPr>
        <w:t xml:space="preserve">νικού εξοπλισμού και λογισμικού </w:t>
      </w:r>
      <w:r w:rsidR="005B41F3" w:rsidRPr="005B41F3">
        <w:rPr>
          <w:rFonts w:asciiTheme="majorHAnsi" w:hAnsiTheme="majorHAnsi" w:cs="ÄË–·˛"/>
          <w:lang w:val="el-GR"/>
        </w:rPr>
        <w:t>για την ηλεκτρονική τιμολόγηση, αποσβένεται πλήρως στο έτος</w:t>
      </w:r>
      <w:r w:rsidR="005B41F3">
        <w:rPr>
          <w:rFonts w:asciiTheme="majorHAnsi" w:hAnsiTheme="majorHAnsi" w:cs="ÄË–·˛"/>
          <w:lang w:val="el-GR"/>
        </w:rPr>
        <w:t xml:space="preserve"> πραγματοποίησής της</w:t>
      </w:r>
      <w:r w:rsidR="008C7981">
        <w:rPr>
          <w:rFonts w:asciiTheme="majorHAnsi" w:hAnsiTheme="majorHAnsi" w:cs="ÄË–·˛"/>
          <w:lang w:val="el-GR"/>
        </w:rPr>
        <w:t>, προσαυξημένη κατά 100% (δηλαδή στο διπλάσιο)</w:t>
      </w:r>
      <w:r w:rsidR="00A020E1">
        <w:rPr>
          <w:rFonts w:asciiTheme="majorHAnsi" w:hAnsiTheme="majorHAnsi" w:cs="ÄË–·˛"/>
          <w:lang w:val="el-GR"/>
        </w:rPr>
        <w:t>,</w:t>
      </w:r>
    </w:p>
    <w:p w14:paraId="4DC31965" w14:textId="4E5B9AF2" w:rsidR="005B41F3" w:rsidRDefault="003931DF" w:rsidP="003931DF">
      <w:pPr>
        <w:ind w:left="1431" w:hanging="580"/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>γ.</w:t>
      </w:r>
      <w:r>
        <w:rPr>
          <w:rFonts w:asciiTheme="majorHAnsi" w:hAnsiTheme="majorHAnsi" w:cs="ÄË–·˛"/>
          <w:lang w:val="el-GR"/>
        </w:rPr>
        <w:tab/>
        <w:t>Η</w:t>
      </w:r>
      <w:r w:rsidR="005B41F3" w:rsidRPr="005B41F3">
        <w:rPr>
          <w:rFonts w:asciiTheme="majorHAnsi" w:hAnsiTheme="majorHAnsi" w:cs="ÄË–·˛"/>
          <w:lang w:val="el-GR"/>
        </w:rPr>
        <w:t xml:space="preserve"> δαπάνη για την παραγωγή, διαβίβαση και ηλεκτρονική αρχειοθέτηση</w:t>
      </w:r>
      <w:r>
        <w:rPr>
          <w:rFonts w:asciiTheme="majorHAnsi" w:hAnsiTheme="majorHAnsi" w:cs="ÄË–·˛"/>
          <w:lang w:val="el-GR"/>
        </w:rPr>
        <w:t xml:space="preserve"> </w:t>
      </w:r>
      <w:r w:rsidR="005B41F3" w:rsidRPr="005B41F3">
        <w:rPr>
          <w:rFonts w:asciiTheme="majorHAnsi" w:hAnsiTheme="majorHAnsi" w:cs="ÄË–·˛"/>
          <w:lang w:val="el-GR"/>
        </w:rPr>
        <w:t>ηλεκτρονικών τιμολογίων για το πρώτο έτος προσαυξάνεται κατά 100%, δηλαδή εκπίπτει στο διπλάσιο</w:t>
      </w:r>
      <w:r w:rsidR="00A020E1">
        <w:rPr>
          <w:rFonts w:asciiTheme="majorHAnsi" w:hAnsiTheme="majorHAnsi" w:cs="ÄË–·˛"/>
          <w:lang w:val="el-GR"/>
        </w:rPr>
        <w:t>,</w:t>
      </w:r>
    </w:p>
    <w:p w14:paraId="412D453C" w14:textId="3842816B" w:rsidR="003A5A27" w:rsidRDefault="009517F3" w:rsidP="00947068">
      <w:pPr>
        <w:ind w:left="1431" w:hanging="580"/>
        <w:jc w:val="both"/>
        <w:rPr>
          <w:rFonts w:asciiTheme="majorHAnsi" w:hAnsiTheme="majorHAnsi" w:cs="ÄË–·˛"/>
          <w:lang w:val="el-GR"/>
        </w:rPr>
      </w:pPr>
      <w:r>
        <w:rPr>
          <w:rFonts w:asciiTheme="majorHAnsi" w:hAnsiTheme="majorHAnsi" w:cs="ÄË–·˛"/>
          <w:lang w:val="el-GR"/>
        </w:rPr>
        <w:t xml:space="preserve">δ. </w:t>
      </w:r>
      <w:r>
        <w:rPr>
          <w:rFonts w:asciiTheme="majorHAnsi" w:hAnsiTheme="majorHAnsi" w:cs="ÄË–·˛"/>
          <w:lang w:val="el-GR"/>
        </w:rPr>
        <w:tab/>
        <w:t>Επιταχύνεται η διαδικασία επιστροφής φόρων</w:t>
      </w:r>
      <w:r w:rsidR="00531FA3">
        <w:rPr>
          <w:rFonts w:asciiTheme="majorHAnsi" w:hAnsiTheme="majorHAnsi" w:cs="ÄË–·˛"/>
          <w:lang w:val="el-GR"/>
        </w:rPr>
        <w:t xml:space="preserve"> (από 90 σε 45 ημέρες).</w:t>
      </w:r>
    </w:p>
    <w:p w14:paraId="14BD83E7" w14:textId="41B8FE47" w:rsidR="000A1678" w:rsidRPr="00CD45F8" w:rsidRDefault="000A1678" w:rsidP="00F8207D">
      <w:pPr>
        <w:jc w:val="both"/>
        <w:rPr>
          <w:rFonts w:asciiTheme="majorHAnsi" w:hAnsiTheme="majorHAnsi"/>
          <w:lang w:val="el-GR"/>
        </w:rPr>
      </w:pPr>
    </w:p>
    <w:p w14:paraId="3C605B0A" w14:textId="0C3C8A91" w:rsidR="009324CB" w:rsidRPr="00D36B3B" w:rsidRDefault="00D36B3B" w:rsidP="00D36B3B">
      <w:pPr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 xml:space="preserve">II. </w:t>
      </w:r>
      <w:proofErr w:type="spellStart"/>
      <w:r w:rsidR="006F6846">
        <w:rPr>
          <w:rFonts w:asciiTheme="majorHAnsi" w:hAnsiTheme="majorHAnsi"/>
          <w:b/>
          <w:lang w:val="el-GR"/>
        </w:rPr>
        <w:t>ΧΡΟΝΟΣ</w:t>
      </w:r>
      <w:proofErr w:type="spellEnd"/>
      <w:r w:rsidRPr="00D36B3B">
        <w:rPr>
          <w:rFonts w:asciiTheme="majorHAnsi" w:hAnsiTheme="majorHAnsi"/>
          <w:b/>
          <w:lang w:val="el-GR"/>
        </w:rPr>
        <w:t xml:space="preserve"> </w:t>
      </w:r>
      <w:proofErr w:type="spellStart"/>
      <w:r w:rsidRPr="00D36B3B">
        <w:rPr>
          <w:rFonts w:asciiTheme="majorHAnsi" w:hAnsiTheme="majorHAnsi"/>
          <w:b/>
          <w:lang w:val="el-GR"/>
        </w:rPr>
        <w:t>ΔΙΑΒΙΒΑΣΗΣ</w:t>
      </w:r>
      <w:proofErr w:type="spellEnd"/>
      <w:r w:rsidRPr="00D36B3B">
        <w:rPr>
          <w:rFonts w:asciiTheme="majorHAnsi" w:hAnsiTheme="majorHAnsi"/>
          <w:b/>
          <w:lang w:val="el-GR"/>
        </w:rPr>
        <w:t xml:space="preserve"> </w:t>
      </w:r>
      <w:proofErr w:type="spellStart"/>
      <w:r w:rsidRPr="00D36B3B">
        <w:rPr>
          <w:rFonts w:asciiTheme="majorHAnsi" w:hAnsiTheme="majorHAnsi"/>
          <w:b/>
          <w:lang w:val="el-GR"/>
        </w:rPr>
        <w:t>ΔΕΔΟΜΕΝΩΝ</w:t>
      </w:r>
      <w:proofErr w:type="spellEnd"/>
    </w:p>
    <w:p w14:paraId="57916A6B" w14:textId="77777777" w:rsidR="009324CB" w:rsidRPr="00CD45F8" w:rsidRDefault="009324CB" w:rsidP="00632648">
      <w:pPr>
        <w:jc w:val="both"/>
        <w:rPr>
          <w:rFonts w:asciiTheme="majorHAnsi" w:hAnsiTheme="majorHAnsi"/>
          <w:lang w:val="el-GR"/>
        </w:rPr>
      </w:pPr>
    </w:p>
    <w:p w14:paraId="214538E8" w14:textId="77A4DAC5" w:rsidR="003D7274" w:rsidRPr="00CD45F8" w:rsidRDefault="006F6846" w:rsidP="00632648">
      <w:pPr>
        <w:jc w:val="both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 xml:space="preserve">Ο χρόνος </w:t>
      </w:r>
      <w:r w:rsidR="00632648" w:rsidRPr="00CD45F8">
        <w:rPr>
          <w:rFonts w:asciiTheme="majorHAnsi" w:hAnsiTheme="majorHAnsi"/>
          <w:lang w:val="el-GR"/>
        </w:rPr>
        <w:t xml:space="preserve">διαβίβασης </w:t>
      </w:r>
      <w:r w:rsidR="00A5431B">
        <w:rPr>
          <w:rFonts w:asciiTheme="majorHAnsi" w:hAnsiTheme="majorHAnsi"/>
          <w:lang w:val="el-GR"/>
        </w:rPr>
        <w:t>των δεδομένων που αφορούν σε</w:t>
      </w:r>
      <w:r w:rsidR="00632648" w:rsidRPr="00CD45F8">
        <w:rPr>
          <w:rFonts w:asciiTheme="majorHAnsi" w:hAnsiTheme="majorHAnsi"/>
          <w:lang w:val="el-GR"/>
        </w:rPr>
        <w:t xml:space="preserve"> </w:t>
      </w:r>
      <w:r w:rsidR="0036494C">
        <w:rPr>
          <w:rFonts w:asciiTheme="majorHAnsi" w:hAnsiTheme="majorHAnsi"/>
          <w:lang w:val="el-GR"/>
        </w:rPr>
        <w:t>στοιχεία</w:t>
      </w:r>
      <w:r w:rsidR="00FB404D" w:rsidRPr="00CD45F8">
        <w:rPr>
          <w:rFonts w:asciiTheme="majorHAnsi" w:hAnsiTheme="majorHAnsi"/>
          <w:lang w:val="el-GR"/>
        </w:rPr>
        <w:t xml:space="preserve"> που </w:t>
      </w:r>
      <w:r w:rsidR="00FB404D" w:rsidRPr="00711737">
        <w:rPr>
          <w:rFonts w:asciiTheme="majorHAnsi" w:hAnsiTheme="majorHAnsi"/>
          <w:lang w:val="el-GR"/>
        </w:rPr>
        <w:t>εκδίδονται από 1.1.2022</w:t>
      </w:r>
      <w:r w:rsidR="0086794A" w:rsidRPr="00711737">
        <w:rPr>
          <w:rFonts w:asciiTheme="majorHAnsi" w:hAnsiTheme="majorHAnsi"/>
          <w:lang w:val="el-GR"/>
        </w:rPr>
        <w:t xml:space="preserve"> και εφεξής</w:t>
      </w:r>
      <w:r w:rsidR="004702EC" w:rsidRPr="00711737">
        <w:rPr>
          <w:rFonts w:asciiTheme="majorHAnsi" w:hAnsiTheme="majorHAnsi"/>
          <w:lang w:val="el-GR"/>
        </w:rPr>
        <w:t xml:space="preserve">, </w:t>
      </w:r>
      <w:r w:rsidR="00FA3461" w:rsidRPr="00711737">
        <w:rPr>
          <w:rFonts w:asciiTheme="majorHAnsi" w:hAnsiTheme="majorHAnsi"/>
          <w:lang w:val="el-GR"/>
        </w:rPr>
        <w:t>παρατίθε</w:t>
      </w:r>
      <w:r w:rsidR="00632648" w:rsidRPr="00711737">
        <w:rPr>
          <w:rFonts w:asciiTheme="majorHAnsi" w:hAnsiTheme="majorHAnsi"/>
          <w:lang w:val="el-GR"/>
        </w:rPr>
        <w:t xml:space="preserve">ται στους κατωτέρω πίνακες </w:t>
      </w:r>
      <w:r w:rsidR="00206A26" w:rsidRPr="00711737">
        <w:rPr>
          <w:rFonts w:asciiTheme="majorHAnsi" w:hAnsiTheme="majorHAnsi"/>
          <w:lang w:val="el-GR"/>
        </w:rPr>
        <w:t xml:space="preserve">(1-3) </w:t>
      </w:r>
      <w:r w:rsidR="00632648" w:rsidRPr="00711737">
        <w:rPr>
          <w:rFonts w:asciiTheme="majorHAnsi" w:hAnsiTheme="majorHAnsi"/>
          <w:lang w:val="el-GR"/>
        </w:rPr>
        <w:t>σε συνάρτηση</w:t>
      </w:r>
      <w:r w:rsidR="00711737" w:rsidRPr="00711737">
        <w:rPr>
          <w:rFonts w:asciiTheme="majorHAnsi" w:hAnsiTheme="majorHAnsi"/>
          <w:lang w:val="el-GR"/>
        </w:rPr>
        <w:t xml:space="preserve"> </w:t>
      </w:r>
      <w:r w:rsidR="00D66D98" w:rsidRPr="00711737">
        <w:rPr>
          <w:rFonts w:asciiTheme="majorHAnsi" w:hAnsiTheme="majorHAnsi"/>
          <w:lang w:val="el-GR"/>
        </w:rPr>
        <w:t>με τον τρόπο διαβίβασης</w:t>
      </w:r>
      <w:r w:rsidR="00A5431B" w:rsidRPr="00711737">
        <w:rPr>
          <w:rFonts w:asciiTheme="majorHAnsi" w:hAnsiTheme="majorHAnsi"/>
          <w:lang w:val="el-GR"/>
        </w:rPr>
        <w:t xml:space="preserve"> τους</w:t>
      </w:r>
      <w:r w:rsidR="00DF789F">
        <w:rPr>
          <w:rFonts w:asciiTheme="majorHAnsi" w:hAnsiTheme="majorHAnsi"/>
          <w:lang w:val="el-GR"/>
        </w:rPr>
        <w:t>.</w:t>
      </w:r>
      <w:r w:rsidR="00711737" w:rsidRPr="00711737">
        <w:rPr>
          <w:rFonts w:asciiTheme="majorHAnsi" w:hAnsiTheme="majorHAnsi"/>
          <w:lang w:val="el-GR"/>
        </w:rPr>
        <w:t xml:space="preserve"> Στον πίνακα 4 παρατίθενται οι προθεσμίες διαβίβασης </w:t>
      </w:r>
      <w:r w:rsidR="00711737">
        <w:rPr>
          <w:rFonts w:asciiTheme="majorHAnsi" w:hAnsiTheme="majorHAnsi"/>
          <w:lang w:val="el-GR"/>
        </w:rPr>
        <w:t xml:space="preserve">των </w:t>
      </w:r>
      <w:r w:rsidR="00711737" w:rsidRPr="00711737">
        <w:rPr>
          <w:rFonts w:asciiTheme="majorHAnsi" w:hAnsiTheme="majorHAnsi"/>
          <w:lang w:val="el-GR"/>
        </w:rPr>
        <w:t>δεδομένων</w:t>
      </w:r>
      <w:r w:rsidR="00711737">
        <w:rPr>
          <w:rFonts w:asciiTheme="majorHAnsi" w:hAnsiTheme="majorHAnsi"/>
          <w:lang w:val="el-GR"/>
        </w:rPr>
        <w:t xml:space="preserve"> αποκλειστικά για το έτος 2021.</w:t>
      </w:r>
    </w:p>
    <w:p w14:paraId="69B10BAC" w14:textId="77777777" w:rsidR="009C71D7" w:rsidRPr="00CD45F8" w:rsidRDefault="009C71D7" w:rsidP="00A96A5F">
      <w:pPr>
        <w:rPr>
          <w:rFonts w:asciiTheme="majorHAnsi" w:hAnsiTheme="majorHAnsi"/>
          <w:lang w:val="el-GR"/>
        </w:rPr>
      </w:pPr>
    </w:p>
    <w:tbl>
      <w:tblPr>
        <w:tblStyle w:val="TableGrid"/>
        <w:tblW w:w="8516" w:type="dxa"/>
        <w:tblLayout w:type="fixed"/>
        <w:tblLook w:val="04A0" w:firstRow="1" w:lastRow="0" w:firstColumn="1" w:lastColumn="0" w:noHBand="0" w:noVBand="1"/>
      </w:tblPr>
      <w:tblGrid>
        <w:gridCol w:w="250"/>
        <w:gridCol w:w="4536"/>
        <w:gridCol w:w="1418"/>
        <w:gridCol w:w="2312"/>
      </w:tblGrid>
      <w:tr w:rsidR="00B2177C" w:rsidRPr="00CD45F8" w14:paraId="5435BFBD" w14:textId="77777777" w:rsidTr="00B2177C">
        <w:tc>
          <w:tcPr>
            <w:tcW w:w="8516" w:type="dxa"/>
            <w:gridSpan w:val="4"/>
            <w:shd w:val="clear" w:color="auto" w:fill="DDD9C3" w:themeFill="background2" w:themeFillShade="E6"/>
          </w:tcPr>
          <w:p w14:paraId="7DCA47E9" w14:textId="3A9A7605" w:rsidR="00B2177C" w:rsidRPr="00CD45F8" w:rsidRDefault="005B683C" w:rsidP="002C0B0D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proofErr w:type="spellStart"/>
            <w:r>
              <w:rPr>
                <w:rFonts w:asciiTheme="majorHAnsi" w:hAnsiTheme="majorHAnsi"/>
                <w:b/>
                <w:lang w:val="el-GR"/>
              </w:rPr>
              <w:t>ΠΙΝΑΚΑΣ</w:t>
            </w:r>
            <w:proofErr w:type="spellEnd"/>
            <w:r>
              <w:rPr>
                <w:rFonts w:asciiTheme="majorHAnsi" w:hAnsiTheme="majorHAnsi"/>
                <w:b/>
                <w:lang w:val="el-GR"/>
              </w:rPr>
              <w:t xml:space="preserve"> </w:t>
            </w:r>
            <w:r w:rsidR="00014803" w:rsidRPr="00CD45F8">
              <w:rPr>
                <w:rFonts w:asciiTheme="majorHAnsi" w:hAnsiTheme="majorHAnsi"/>
                <w:b/>
                <w:lang w:val="el-GR"/>
              </w:rPr>
              <w:t>1.</w:t>
            </w:r>
            <w:r w:rsidR="009324CB" w:rsidRPr="00CD45F8">
              <w:rPr>
                <w:rFonts w:asciiTheme="majorHAnsi" w:hAnsiTheme="majorHAnsi"/>
                <w:b/>
                <w:lang w:val="el-GR"/>
              </w:rPr>
              <w:t xml:space="preserve"> </w:t>
            </w:r>
            <w:r w:rsidR="002C0B0D" w:rsidRPr="00CD45F8">
              <w:rPr>
                <w:rFonts w:asciiTheme="majorHAnsi" w:hAnsiTheme="majorHAnsi"/>
                <w:b/>
                <w:lang w:val="el-GR"/>
              </w:rPr>
              <w:t xml:space="preserve">Δεδομένα </w:t>
            </w:r>
            <w:r w:rsidR="00B2177C" w:rsidRPr="00CD45F8">
              <w:rPr>
                <w:rFonts w:asciiTheme="majorHAnsi" w:hAnsiTheme="majorHAnsi"/>
                <w:b/>
                <w:lang w:val="el-GR"/>
              </w:rPr>
              <w:t>Εσόδων</w:t>
            </w:r>
            <w:r w:rsidR="005D320D" w:rsidRPr="00CD45F8">
              <w:rPr>
                <w:rFonts w:asciiTheme="majorHAnsi" w:hAnsiTheme="majorHAnsi"/>
                <w:b/>
                <w:lang w:val="el-GR"/>
              </w:rPr>
              <w:t xml:space="preserve"> </w:t>
            </w:r>
          </w:p>
        </w:tc>
      </w:tr>
      <w:tr w:rsidR="00671153" w:rsidRPr="00CD45F8" w14:paraId="641D75CD" w14:textId="77777777" w:rsidTr="00671153">
        <w:tc>
          <w:tcPr>
            <w:tcW w:w="4786" w:type="dxa"/>
            <w:gridSpan w:val="2"/>
            <w:vMerge w:val="restart"/>
            <w:shd w:val="clear" w:color="auto" w:fill="EEECE1" w:themeFill="background2"/>
          </w:tcPr>
          <w:p w14:paraId="4488B1BE" w14:textId="30F3F552" w:rsidR="00B2177C" w:rsidRPr="00CD45F8" w:rsidRDefault="00B2177C" w:rsidP="00F12E06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Τρόπος διαβίβασης</w:t>
            </w:r>
          </w:p>
        </w:tc>
        <w:tc>
          <w:tcPr>
            <w:tcW w:w="3730" w:type="dxa"/>
            <w:gridSpan w:val="2"/>
            <w:shd w:val="clear" w:color="auto" w:fill="EEECE1" w:themeFill="background2"/>
          </w:tcPr>
          <w:p w14:paraId="4B179E37" w14:textId="4BEAA19D" w:rsidR="00B2177C" w:rsidRPr="00CD45F8" w:rsidRDefault="00B2177C" w:rsidP="0030095B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Χρόνος διαβίβασης</w:t>
            </w:r>
          </w:p>
        </w:tc>
      </w:tr>
      <w:tr w:rsidR="00671153" w:rsidRPr="00CD45F8" w14:paraId="0EB42001" w14:textId="77777777" w:rsidTr="00671153">
        <w:tc>
          <w:tcPr>
            <w:tcW w:w="4786" w:type="dxa"/>
            <w:gridSpan w:val="2"/>
            <w:vMerge/>
            <w:shd w:val="clear" w:color="auto" w:fill="EEECE1" w:themeFill="background2"/>
          </w:tcPr>
          <w:p w14:paraId="5D7EC963" w14:textId="05AE3D1C" w:rsidR="00B2177C" w:rsidRPr="00CD45F8" w:rsidRDefault="00B2177C" w:rsidP="00B16956">
            <w:pPr>
              <w:rPr>
                <w:rFonts w:asciiTheme="majorHAnsi" w:hAnsiTheme="majorHAnsi"/>
                <w:lang w:val="el-G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EF4AD4F" w14:textId="47AB8DFE" w:rsidR="00B2177C" w:rsidRPr="00CD45F8" w:rsidRDefault="00B2177C" w:rsidP="004F0571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Τιμολόγια (</w:t>
            </w:r>
            <w:proofErr w:type="spellStart"/>
            <w:r w:rsidRPr="00CD45F8">
              <w:rPr>
                <w:rFonts w:asciiTheme="majorHAnsi" w:hAnsiTheme="majorHAnsi"/>
                <w:b/>
                <w:lang w:val="el-GR"/>
              </w:rPr>
              <w:t>ΤΠΥ</w:t>
            </w:r>
            <w:proofErr w:type="spellEnd"/>
            <w:r w:rsidRPr="00CD45F8">
              <w:rPr>
                <w:rFonts w:asciiTheme="majorHAnsi" w:hAnsiTheme="majorHAnsi"/>
                <w:b/>
                <w:lang w:val="el-GR"/>
              </w:rPr>
              <w:t>)</w:t>
            </w:r>
          </w:p>
        </w:tc>
        <w:tc>
          <w:tcPr>
            <w:tcW w:w="2312" w:type="dxa"/>
            <w:shd w:val="clear" w:color="auto" w:fill="EEECE1" w:themeFill="background2"/>
          </w:tcPr>
          <w:p w14:paraId="6400D339" w14:textId="0F19C97E" w:rsidR="00B2177C" w:rsidRPr="00CD45F8" w:rsidRDefault="00B2177C" w:rsidP="004F0571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Αποδείξεις (</w:t>
            </w:r>
            <w:proofErr w:type="spellStart"/>
            <w:r w:rsidRPr="00CD45F8">
              <w:rPr>
                <w:rFonts w:asciiTheme="majorHAnsi" w:hAnsiTheme="majorHAnsi"/>
                <w:b/>
                <w:lang w:val="el-GR"/>
              </w:rPr>
              <w:t>ΑΠΥ</w:t>
            </w:r>
            <w:proofErr w:type="spellEnd"/>
            <w:r w:rsidRPr="00CD45F8">
              <w:rPr>
                <w:rFonts w:asciiTheme="majorHAnsi" w:hAnsiTheme="majorHAnsi"/>
                <w:b/>
                <w:lang w:val="el-GR"/>
              </w:rPr>
              <w:t>)</w:t>
            </w:r>
          </w:p>
        </w:tc>
      </w:tr>
      <w:tr w:rsidR="00671153" w:rsidRPr="00CD45F8" w14:paraId="490DB16E" w14:textId="77777777" w:rsidTr="00671153">
        <w:tc>
          <w:tcPr>
            <w:tcW w:w="250" w:type="dxa"/>
          </w:tcPr>
          <w:p w14:paraId="0990E0F9" w14:textId="49AA5ADA" w:rsidR="00B2177C" w:rsidRPr="00CD45F8" w:rsidRDefault="00B2177C" w:rsidP="00B16956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1</w:t>
            </w:r>
          </w:p>
        </w:tc>
        <w:tc>
          <w:tcPr>
            <w:tcW w:w="4536" w:type="dxa"/>
          </w:tcPr>
          <w:p w14:paraId="003D3B03" w14:textId="10CFA8F1" w:rsidR="00B2177C" w:rsidRPr="00CD45F8" w:rsidRDefault="00B2177C" w:rsidP="00B16956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 xml:space="preserve">μέσω 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Παρόχου</w:t>
            </w:r>
            <w:proofErr w:type="spellEnd"/>
            <w:r w:rsidRPr="00CD45F8">
              <w:rPr>
                <w:rFonts w:asciiTheme="majorHAnsi" w:hAnsiTheme="majorHAnsi"/>
                <w:lang w:val="el-GR"/>
              </w:rPr>
              <w:t xml:space="preserve"> Υπηρεσιών Ηλεκτρονικής Τιμολόγησης</w:t>
            </w:r>
          </w:p>
        </w:tc>
        <w:tc>
          <w:tcPr>
            <w:tcW w:w="3730" w:type="dxa"/>
            <w:gridSpan w:val="2"/>
          </w:tcPr>
          <w:p w14:paraId="480D80A9" w14:textId="3CE8E30F" w:rsidR="00B2177C" w:rsidRPr="00CD45F8" w:rsidRDefault="00FA3461" w:rsidP="00B16956">
            <w:pPr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Αμφότερα (</w:t>
            </w:r>
            <w:proofErr w:type="spellStart"/>
            <w:r>
              <w:rPr>
                <w:rFonts w:asciiTheme="majorHAnsi" w:hAnsiTheme="majorHAnsi"/>
                <w:lang w:val="el-GR"/>
              </w:rPr>
              <w:t>ΤΠΥ</w:t>
            </w:r>
            <w:proofErr w:type="spellEnd"/>
            <w:r>
              <w:rPr>
                <w:rFonts w:asciiTheme="majorHAnsi" w:hAnsiTheme="majorHAnsi"/>
                <w:lang w:val="el-GR"/>
              </w:rPr>
              <w:t xml:space="preserve"> και </w:t>
            </w:r>
            <w:proofErr w:type="spellStart"/>
            <w:r>
              <w:rPr>
                <w:rFonts w:asciiTheme="majorHAnsi" w:hAnsiTheme="majorHAnsi"/>
                <w:lang w:val="el-GR"/>
              </w:rPr>
              <w:t>ΑΠΥ</w:t>
            </w:r>
            <w:proofErr w:type="spellEnd"/>
            <w:r>
              <w:rPr>
                <w:rFonts w:asciiTheme="majorHAnsi" w:hAnsiTheme="majorHAnsi"/>
                <w:lang w:val="el-GR"/>
              </w:rPr>
              <w:t>)</w:t>
            </w:r>
            <w:r w:rsidR="00455C1D">
              <w:rPr>
                <w:rFonts w:asciiTheme="majorHAnsi" w:hAnsiTheme="majorHAnsi"/>
                <w:lang w:val="el-GR"/>
              </w:rPr>
              <w:t xml:space="preserve"> διαβιβάζονται</w:t>
            </w:r>
            <w:r>
              <w:rPr>
                <w:rFonts w:asciiTheme="majorHAnsi" w:hAnsiTheme="majorHAnsi"/>
                <w:lang w:val="el-GR"/>
              </w:rPr>
              <w:t xml:space="preserve"> σ</w:t>
            </w:r>
            <w:r w:rsidR="00B2177C" w:rsidRPr="00CD45F8">
              <w:rPr>
                <w:rFonts w:asciiTheme="majorHAnsi" w:hAnsiTheme="majorHAnsi"/>
                <w:lang w:val="el-GR"/>
              </w:rPr>
              <w:t>ε πραγματικό χρόνο, ταυτόχρονα με την έκδοση.</w:t>
            </w:r>
          </w:p>
        </w:tc>
      </w:tr>
      <w:tr w:rsidR="00671153" w:rsidRPr="00CD45F8" w14:paraId="78BD7422" w14:textId="77777777" w:rsidTr="00671153">
        <w:tc>
          <w:tcPr>
            <w:tcW w:w="250" w:type="dxa"/>
          </w:tcPr>
          <w:p w14:paraId="0129F6C9" w14:textId="276C4592" w:rsidR="00B2177C" w:rsidRPr="00CD45F8" w:rsidRDefault="00B2177C" w:rsidP="00B16956">
            <w:pPr>
              <w:rPr>
                <w:rFonts w:asciiTheme="majorHAnsi" w:hAnsiTheme="majorHAnsi" w:cs="ÄË–·˛"/>
                <w:lang w:val="el-GR"/>
              </w:rPr>
            </w:pPr>
            <w:r w:rsidRPr="00CD45F8">
              <w:rPr>
                <w:rFonts w:asciiTheme="majorHAnsi" w:hAnsiTheme="majorHAnsi" w:cs="ÄË–·˛"/>
                <w:lang w:val="el-GR"/>
              </w:rPr>
              <w:t>2</w:t>
            </w:r>
          </w:p>
        </w:tc>
        <w:tc>
          <w:tcPr>
            <w:tcW w:w="4536" w:type="dxa"/>
          </w:tcPr>
          <w:p w14:paraId="2D5CAF9D" w14:textId="16136582" w:rsidR="00B2177C" w:rsidRPr="00CD45F8" w:rsidRDefault="00B2177C" w:rsidP="00B16956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 w:cs="ÄË–·˛"/>
                <w:lang w:val="el-GR"/>
              </w:rPr>
              <w:t xml:space="preserve">μέσω Προγράμματος διαχείρισης (εμπορικό/λογιστικό, </w:t>
            </w:r>
            <w:proofErr w:type="spellStart"/>
            <w:r w:rsidRPr="00CD45F8">
              <w:rPr>
                <w:rFonts w:asciiTheme="majorHAnsi" w:hAnsiTheme="majorHAnsi" w:cs="ÄË–·˛"/>
              </w:rPr>
              <w:t>ERP</w:t>
            </w:r>
            <w:proofErr w:type="spellEnd"/>
            <w:r w:rsidRPr="00CD45F8">
              <w:rPr>
                <w:rFonts w:asciiTheme="majorHAnsi" w:hAnsiTheme="majorHAnsi" w:cs="ÄË–·˛"/>
              </w:rPr>
              <w:t>)</w:t>
            </w:r>
          </w:p>
        </w:tc>
        <w:tc>
          <w:tcPr>
            <w:tcW w:w="1418" w:type="dxa"/>
          </w:tcPr>
          <w:p w14:paraId="293A75CA" w14:textId="28833BE4" w:rsidR="00B2177C" w:rsidRPr="00CD45F8" w:rsidRDefault="00FA3461" w:rsidP="00F8207D">
            <w:pPr>
              <w:tabs>
                <w:tab w:val="left" w:pos="2302"/>
              </w:tabs>
              <w:ind w:right="75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 xml:space="preserve">Τα </w:t>
            </w:r>
            <w:proofErr w:type="spellStart"/>
            <w:r>
              <w:rPr>
                <w:rFonts w:asciiTheme="majorHAnsi" w:hAnsiTheme="majorHAnsi"/>
                <w:lang w:val="el-GR"/>
              </w:rPr>
              <w:t>ΤΠΥ</w:t>
            </w:r>
            <w:proofErr w:type="spellEnd"/>
            <w:r>
              <w:rPr>
                <w:rFonts w:asciiTheme="majorHAnsi" w:hAnsiTheme="majorHAnsi"/>
                <w:lang w:val="el-GR"/>
              </w:rPr>
              <w:t xml:space="preserve"> </w:t>
            </w:r>
            <w:r w:rsidR="00455C1D">
              <w:rPr>
                <w:rFonts w:asciiTheme="majorHAnsi" w:hAnsiTheme="majorHAnsi"/>
                <w:lang w:val="el-GR"/>
              </w:rPr>
              <w:t xml:space="preserve">διαβιβάζονται </w:t>
            </w:r>
            <w:r>
              <w:rPr>
                <w:rFonts w:asciiTheme="majorHAnsi" w:hAnsiTheme="majorHAnsi"/>
                <w:lang w:val="el-GR"/>
              </w:rPr>
              <w:t>σ</w:t>
            </w:r>
            <w:r w:rsidR="00B2177C" w:rsidRPr="00CD45F8">
              <w:rPr>
                <w:rFonts w:asciiTheme="majorHAnsi" w:hAnsiTheme="majorHAnsi"/>
                <w:lang w:val="el-GR"/>
              </w:rPr>
              <w:t>ε πραγματικό χρόνο, ταυτόχρονα με την έκδοση.</w:t>
            </w:r>
          </w:p>
          <w:p w14:paraId="2FFA7C54" w14:textId="3F26CDF6" w:rsidR="00B2177C" w:rsidRPr="00CD45F8" w:rsidRDefault="00B2177C" w:rsidP="000A4DD5">
            <w:pPr>
              <w:rPr>
                <w:rFonts w:asciiTheme="majorHAnsi" w:hAnsiTheme="majorHAnsi"/>
                <w:lang w:val="el-GR"/>
              </w:rPr>
            </w:pPr>
          </w:p>
        </w:tc>
        <w:tc>
          <w:tcPr>
            <w:tcW w:w="2312" w:type="dxa"/>
          </w:tcPr>
          <w:p w14:paraId="50D7D814" w14:textId="5599E81C" w:rsidR="00B2177C" w:rsidRPr="00CD45F8" w:rsidRDefault="00FA3461" w:rsidP="00F8207D">
            <w:pPr>
              <w:ind w:right="34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 xml:space="preserve">Οι </w:t>
            </w:r>
            <w:proofErr w:type="spellStart"/>
            <w:r>
              <w:rPr>
                <w:rFonts w:asciiTheme="majorHAnsi" w:hAnsiTheme="majorHAnsi"/>
                <w:lang w:val="el-GR"/>
              </w:rPr>
              <w:t>ΑΠΥ</w:t>
            </w:r>
            <w:proofErr w:type="spellEnd"/>
            <w:r>
              <w:rPr>
                <w:rFonts w:asciiTheme="majorHAnsi" w:hAnsiTheme="majorHAnsi"/>
                <w:lang w:val="el-GR"/>
              </w:rPr>
              <w:t xml:space="preserve"> κ</w:t>
            </w:r>
            <w:r w:rsidR="00B2177C" w:rsidRPr="00CD45F8">
              <w:rPr>
                <w:rFonts w:asciiTheme="majorHAnsi" w:hAnsiTheme="majorHAnsi"/>
                <w:lang w:val="el-GR"/>
              </w:rPr>
              <w:t xml:space="preserve">αταρχήν σε πραγματικό χρόνο. </w:t>
            </w:r>
          </w:p>
          <w:p w14:paraId="7FD6BAC2" w14:textId="03894A71" w:rsidR="00B2177C" w:rsidRPr="00CD45F8" w:rsidRDefault="00B2177C" w:rsidP="00F8207D">
            <w:pPr>
              <w:ind w:right="34"/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Ωστόσο, εάν:</w:t>
            </w:r>
          </w:p>
          <w:p w14:paraId="53EC7FF3" w14:textId="0EC915CF" w:rsidR="00B2177C" w:rsidRPr="00CD45F8" w:rsidRDefault="00B2177C" w:rsidP="00F8207D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 xml:space="preserve">α) ισχύουν τα ανωτέρω όρια χρήσης της ειδικής φόρμας καταχώρησης και </w:t>
            </w:r>
          </w:p>
          <w:p w14:paraId="59D83792" w14:textId="32F57CFF" w:rsidR="00B2177C" w:rsidRPr="00CD45F8" w:rsidRDefault="00B2177C" w:rsidP="00F8207D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 xml:space="preserve">β) οι 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Α.Π.Υ</w:t>
            </w:r>
            <w:proofErr w:type="spellEnd"/>
          </w:p>
          <w:p w14:paraId="7804F5DE" w14:textId="53D66012" w:rsidR="00B2177C" w:rsidRPr="00CD45F8" w:rsidRDefault="00B2177C" w:rsidP="00F8207D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 xml:space="preserve">εκδίδονται μέσω προγραμμάτων διαχείρισης 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ERP</w:t>
            </w:r>
            <w:proofErr w:type="spellEnd"/>
            <w:r w:rsidRPr="00CD45F8">
              <w:rPr>
                <w:rFonts w:asciiTheme="majorHAnsi" w:hAnsiTheme="majorHAnsi"/>
                <w:lang w:val="el-GR"/>
              </w:rPr>
              <w:t xml:space="preserve"> (συμβατών με την </w:t>
            </w:r>
            <w:proofErr w:type="spellStart"/>
            <w:r w:rsidR="009F2581">
              <w:rPr>
                <w:rFonts w:asciiTheme="majorHAnsi" w:hAnsiTheme="majorHAnsi"/>
              </w:rPr>
              <w:t>myDATA</w:t>
            </w:r>
            <w:proofErr w:type="spellEnd"/>
            <w:r w:rsidRPr="00CD45F8">
              <w:rPr>
                <w:rFonts w:asciiTheme="majorHAnsi" w:hAnsiTheme="majorHAnsi"/>
              </w:rPr>
              <w:t>)</w:t>
            </w:r>
            <w:r w:rsidRPr="00CD45F8">
              <w:rPr>
                <w:rFonts w:asciiTheme="majorHAnsi" w:hAnsiTheme="majorHAnsi"/>
                <w:lang w:val="el-GR"/>
              </w:rPr>
              <w:t>, τότε</w:t>
            </w:r>
          </w:p>
          <w:p w14:paraId="57C9EE07" w14:textId="27BE8B23" w:rsidR="00B2177C" w:rsidRPr="00CD45F8" w:rsidRDefault="00B2177C" w:rsidP="00F8207D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 xml:space="preserve">κάθε 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Α.Π.Υ</w:t>
            </w:r>
            <w:proofErr w:type="spellEnd"/>
            <w:r w:rsidRPr="00CD45F8">
              <w:rPr>
                <w:rFonts w:asciiTheme="majorHAnsi" w:hAnsiTheme="majorHAnsi"/>
                <w:lang w:val="el-GR"/>
              </w:rPr>
              <w:t>. μπορεί να διαβιβάζεται εντός 5 ημερών από την έκδοση της.</w:t>
            </w:r>
          </w:p>
        </w:tc>
      </w:tr>
      <w:tr w:rsidR="00671153" w:rsidRPr="00CD45F8" w14:paraId="7454C9A9" w14:textId="77777777" w:rsidTr="00671153">
        <w:tc>
          <w:tcPr>
            <w:tcW w:w="250" w:type="dxa"/>
          </w:tcPr>
          <w:p w14:paraId="41E07B87" w14:textId="7FB5CCD9" w:rsidR="00B2177C" w:rsidRPr="00CD45F8" w:rsidRDefault="00B2177C" w:rsidP="00B16956">
            <w:pPr>
              <w:rPr>
                <w:rFonts w:asciiTheme="majorHAnsi" w:hAnsiTheme="majorHAnsi" w:cs="ÄË–·˛"/>
                <w:lang w:val="el-GR"/>
              </w:rPr>
            </w:pPr>
            <w:r w:rsidRPr="00CD45F8">
              <w:rPr>
                <w:rFonts w:asciiTheme="majorHAnsi" w:hAnsiTheme="majorHAnsi" w:cs="ÄË–·˛"/>
                <w:lang w:val="el-GR"/>
              </w:rPr>
              <w:t>3</w:t>
            </w:r>
          </w:p>
        </w:tc>
        <w:tc>
          <w:tcPr>
            <w:tcW w:w="4536" w:type="dxa"/>
          </w:tcPr>
          <w:p w14:paraId="171D2448" w14:textId="41ED263B" w:rsidR="00B2177C" w:rsidRPr="00CD45F8" w:rsidRDefault="00B2177C" w:rsidP="00B16956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 w:cs="ÄË–·˛"/>
                <w:lang w:val="el-GR"/>
              </w:rPr>
              <w:t xml:space="preserve">μέσω της εφαρμογής </w:t>
            </w:r>
            <w:r w:rsidRPr="00CD45F8">
              <w:rPr>
                <w:rFonts w:asciiTheme="majorHAnsi" w:hAnsiTheme="majorHAnsi" w:cs="ÄË–·˛"/>
              </w:rPr>
              <w:t>e-</w:t>
            </w:r>
            <w:proofErr w:type="spellStart"/>
            <w:r w:rsidRPr="00CD45F8">
              <w:rPr>
                <w:rFonts w:asciiTheme="majorHAnsi" w:hAnsiTheme="majorHAnsi" w:cs="ÄË–·˛"/>
              </w:rPr>
              <w:t>timologio</w:t>
            </w:r>
            <w:proofErr w:type="spellEnd"/>
          </w:p>
        </w:tc>
        <w:tc>
          <w:tcPr>
            <w:tcW w:w="3730" w:type="dxa"/>
            <w:gridSpan w:val="2"/>
          </w:tcPr>
          <w:p w14:paraId="54058F3C" w14:textId="604EDF99" w:rsidR="00B2177C" w:rsidRPr="00CD45F8" w:rsidRDefault="00FA3461" w:rsidP="00B16956">
            <w:pPr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Αμφότερα (</w:t>
            </w:r>
            <w:proofErr w:type="spellStart"/>
            <w:r>
              <w:rPr>
                <w:rFonts w:asciiTheme="majorHAnsi" w:hAnsiTheme="majorHAnsi"/>
                <w:lang w:val="el-GR"/>
              </w:rPr>
              <w:t>ΤΠΥ</w:t>
            </w:r>
            <w:proofErr w:type="spellEnd"/>
            <w:r>
              <w:rPr>
                <w:rFonts w:asciiTheme="majorHAnsi" w:hAnsiTheme="majorHAnsi"/>
                <w:lang w:val="el-GR"/>
              </w:rPr>
              <w:t xml:space="preserve"> και </w:t>
            </w:r>
            <w:proofErr w:type="spellStart"/>
            <w:r>
              <w:rPr>
                <w:rFonts w:asciiTheme="majorHAnsi" w:hAnsiTheme="majorHAnsi"/>
                <w:lang w:val="el-GR"/>
              </w:rPr>
              <w:t>ΑΠΥ</w:t>
            </w:r>
            <w:proofErr w:type="spellEnd"/>
            <w:r>
              <w:rPr>
                <w:rFonts w:asciiTheme="majorHAnsi" w:hAnsiTheme="majorHAnsi"/>
                <w:lang w:val="el-GR"/>
              </w:rPr>
              <w:t>) σ</w:t>
            </w:r>
            <w:r w:rsidR="00B2177C" w:rsidRPr="00CD45F8">
              <w:rPr>
                <w:rFonts w:asciiTheme="majorHAnsi" w:hAnsiTheme="majorHAnsi"/>
                <w:lang w:val="el-GR"/>
              </w:rPr>
              <w:t>ε πραγματικό χρόνο, ταυτόχρονα με την έ</w:t>
            </w:r>
            <w:r>
              <w:rPr>
                <w:rFonts w:asciiTheme="majorHAnsi" w:hAnsiTheme="majorHAnsi"/>
                <w:lang w:val="el-GR"/>
              </w:rPr>
              <w:t xml:space="preserve">κδοση (η διαβίβαση διενεργείται </w:t>
            </w:r>
            <w:r w:rsidR="00B2177C" w:rsidRPr="00CD45F8">
              <w:rPr>
                <w:rFonts w:asciiTheme="majorHAnsi" w:hAnsiTheme="majorHAnsi"/>
                <w:lang w:val="el-GR"/>
              </w:rPr>
              <w:t>αυτοματοποιημένα από την εφαρμογή)</w:t>
            </w:r>
          </w:p>
        </w:tc>
      </w:tr>
      <w:tr w:rsidR="00671153" w:rsidRPr="00CD45F8" w14:paraId="57A05618" w14:textId="77777777" w:rsidTr="00671153">
        <w:tc>
          <w:tcPr>
            <w:tcW w:w="250" w:type="dxa"/>
          </w:tcPr>
          <w:p w14:paraId="18404684" w14:textId="7C80A6BA" w:rsidR="00B2177C" w:rsidRPr="00CD45F8" w:rsidRDefault="00B2177C" w:rsidP="00B16956">
            <w:pPr>
              <w:rPr>
                <w:rFonts w:asciiTheme="majorHAnsi" w:hAnsiTheme="majorHAnsi" w:cs="ÄË–·˛"/>
                <w:lang w:val="el-GR"/>
              </w:rPr>
            </w:pPr>
            <w:r w:rsidRPr="00CD45F8">
              <w:rPr>
                <w:rFonts w:asciiTheme="majorHAnsi" w:hAnsiTheme="majorHAnsi" w:cs="ÄË–·˛"/>
                <w:lang w:val="el-GR"/>
              </w:rPr>
              <w:t>4</w:t>
            </w:r>
          </w:p>
        </w:tc>
        <w:tc>
          <w:tcPr>
            <w:tcW w:w="4536" w:type="dxa"/>
          </w:tcPr>
          <w:p w14:paraId="73C94291" w14:textId="5BEFC408" w:rsidR="00B2177C" w:rsidRPr="00CD45F8" w:rsidRDefault="00B2177C" w:rsidP="00B16956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 w:cs="ÄË–·˛"/>
                <w:lang w:val="el-GR"/>
              </w:rPr>
              <w:t>μέσω της ειδικής φόρμας καταχώρησης</w:t>
            </w:r>
          </w:p>
        </w:tc>
        <w:tc>
          <w:tcPr>
            <w:tcW w:w="3730" w:type="dxa"/>
            <w:gridSpan w:val="2"/>
          </w:tcPr>
          <w:p w14:paraId="0B0B9D5B" w14:textId="46A377E3" w:rsidR="00B2177C" w:rsidRPr="00CD45F8" w:rsidRDefault="00B2177C" w:rsidP="00B16956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 xml:space="preserve">Μέχρι την 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20η</w:t>
            </w:r>
            <w:proofErr w:type="spellEnd"/>
            <w:r w:rsidRPr="00CD45F8">
              <w:rPr>
                <w:rFonts w:asciiTheme="majorHAnsi" w:hAnsiTheme="majorHAnsi"/>
                <w:lang w:val="el-GR"/>
              </w:rPr>
              <w:t xml:space="preserve"> ημέρα του επόμενου μήνα εντός του οποίου εκδόθηκαν</w:t>
            </w:r>
          </w:p>
        </w:tc>
      </w:tr>
    </w:tbl>
    <w:p w14:paraId="62C6D0BA" w14:textId="77777777" w:rsidR="009C71D7" w:rsidRPr="00CD45F8" w:rsidRDefault="009C71D7" w:rsidP="00B16956">
      <w:pPr>
        <w:rPr>
          <w:rFonts w:asciiTheme="majorHAnsi" w:hAnsiTheme="majorHAnsi"/>
          <w:lang w:val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730"/>
      </w:tblGrid>
      <w:tr w:rsidR="00743CB3" w:rsidRPr="00CD45F8" w14:paraId="33D31846" w14:textId="77777777" w:rsidTr="00711737">
        <w:tc>
          <w:tcPr>
            <w:tcW w:w="8516" w:type="dxa"/>
            <w:gridSpan w:val="2"/>
            <w:shd w:val="clear" w:color="auto" w:fill="D9D9D9" w:themeFill="background1" w:themeFillShade="D9"/>
          </w:tcPr>
          <w:p w14:paraId="7AF8BF62" w14:textId="6C8D2DA2" w:rsidR="00743CB3" w:rsidRPr="00CD45F8" w:rsidRDefault="008C6E04" w:rsidP="002C0B0D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proofErr w:type="spellStart"/>
            <w:r>
              <w:rPr>
                <w:rFonts w:asciiTheme="majorHAnsi" w:hAnsiTheme="majorHAnsi"/>
                <w:b/>
                <w:lang w:val="el-GR"/>
              </w:rPr>
              <w:t>ΠΙΝΑΚΑΣ</w:t>
            </w:r>
            <w:proofErr w:type="spellEnd"/>
            <w:r>
              <w:rPr>
                <w:rFonts w:asciiTheme="majorHAnsi" w:hAnsiTheme="majorHAnsi"/>
                <w:b/>
                <w:lang w:val="el-GR"/>
              </w:rPr>
              <w:t xml:space="preserve"> </w:t>
            </w:r>
            <w:r w:rsidR="00014803" w:rsidRPr="00CD45F8">
              <w:rPr>
                <w:rFonts w:asciiTheme="majorHAnsi" w:hAnsiTheme="majorHAnsi"/>
                <w:b/>
                <w:lang w:val="el-GR"/>
              </w:rPr>
              <w:t xml:space="preserve">2. </w:t>
            </w:r>
            <w:r w:rsidR="002C0B0D" w:rsidRPr="00CD45F8">
              <w:rPr>
                <w:rFonts w:asciiTheme="majorHAnsi" w:hAnsiTheme="majorHAnsi"/>
                <w:b/>
                <w:lang w:val="el-GR"/>
              </w:rPr>
              <w:t>Δεδομένα</w:t>
            </w:r>
            <w:r w:rsidR="00743CB3" w:rsidRPr="00CD45F8">
              <w:rPr>
                <w:rFonts w:asciiTheme="majorHAnsi" w:hAnsiTheme="majorHAnsi"/>
                <w:b/>
                <w:lang w:val="el-GR"/>
              </w:rPr>
              <w:t xml:space="preserve"> εξόδων</w:t>
            </w:r>
            <w:r w:rsidR="005D320D" w:rsidRPr="00CD45F8">
              <w:rPr>
                <w:rFonts w:asciiTheme="majorHAnsi" w:hAnsiTheme="majorHAnsi"/>
                <w:b/>
                <w:lang w:val="el-GR"/>
              </w:rPr>
              <w:t xml:space="preserve"> </w:t>
            </w:r>
          </w:p>
        </w:tc>
      </w:tr>
      <w:tr w:rsidR="006F443F" w:rsidRPr="00CD45F8" w14:paraId="01D62911" w14:textId="77777777" w:rsidTr="00711737">
        <w:tc>
          <w:tcPr>
            <w:tcW w:w="4786" w:type="dxa"/>
            <w:shd w:val="clear" w:color="auto" w:fill="F2F2F2" w:themeFill="background1" w:themeFillShade="F2"/>
          </w:tcPr>
          <w:p w14:paraId="52361AFA" w14:textId="77777777" w:rsidR="0030095B" w:rsidRPr="00CD45F8" w:rsidRDefault="00CF5572" w:rsidP="0030095B">
            <w:pPr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 xml:space="preserve">Παραστατικά που διαβιβάζονται από </w:t>
            </w:r>
            <w:r w:rsidR="00D25C7A" w:rsidRPr="00CD45F8">
              <w:rPr>
                <w:rFonts w:asciiTheme="majorHAnsi" w:hAnsiTheme="majorHAnsi"/>
                <w:b/>
                <w:lang w:val="el-GR"/>
              </w:rPr>
              <w:t xml:space="preserve">τον </w:t>
            </w:r>
          </w:p>
          <w:p w14:paraId="27E59DE7" w14:textId="21119A11" w:rsidR="001076C6" w:rsidRPr="00CD45F8" w:rsidRDefault="00BC6882" w:rsidP="0030095B">
            <w:pPr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λ</w:t>
            </w:r>
            <w:r w:rsidR="00D25C7A" w:rsidRPr="00CD45F8">
              <w:rPr>
                <w:rFonts w:asciiTheme="majorHAnsi" w:hAnsiTheme="majorHAnsi"/>
                <w:b/>
                <w:lang w:val="el-GR"/>
              </w:rPr>
              <w:t>ήπτη υπηρεσιών/αγαθών</w:t>
            </w:r>
            <w:r w:rsidR="0030095B" w:rsidRPr="00CD45F8">
              <w:rPr>
                <w:rFonts w:asciiTheme="majorHAnsi" w:hAnsiTheme="majorHAnsi"/>
                <w:b/>
                <w:lang w:val="el-GR"/>
              </w:rPr>
              <w:t xml:space="preserve"> (Δικηγόρο</w:t>
            </w:r>
            <w:r w:rsidR="00135FFF" w:rsidRPr="00CD45F8">
              <w:rPr>
                <w:rFonts w:asciiTheme="majorHAnsi" w:hAnsiTheme="majorHAnsi"/>
                <w:b/>
                <w:lang w:val="el-GR"/>
              </w:rPr>
              <w:t>/Δικηγορική εταιρεία</w:t>
            </w:r>
            <w:r w:rsidR="0030095B" w:rsidRPr="00CD45F8">
              <w:rPr>
                <w:rFonts w:asciiTheme="majorHAnsi" w:hAnsiTheme="majorHAnsi"/>
                <w:b/>
                <w:lang w:val="el-GR"/>
              </w:rPr>
              <w:t>)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14:paraId="2EE77DE9" w14:textId="0A0FF577" w:rsidR="001076C6" w:rsidRPr="00CD45F8" w:rsidRDefault="00CF5572" w:rsidP="00F3627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 xml:space="preserve">Χρόνος διαβίβασης </w:t>
            </w:r>
          </w:p>
        </w:tc>
      </w:tr>
      <w:tr w:rsidR="006F443F" w:rsidRPr="00CD45F8" w14:paraId="3D829A10" w14:textId="77777777" w:rsidTr="006F443F">
        <w:trPr>
          <w:trHeight w:val="5375"/>
        </w:trPr>
        <w:tc>
          <w:tcPr>
            <w:tcW w:w="4786" w:type="dxa"/>
          </w:tcPr>
          <w:p w14:paraId="345E0780" w14:textId="689D315D" w:rsidR="003807B5" w:rsidRPr="003807B5" w:rsidRDefault="003807B5" w:rsidP="003807B5">
            <w:pPr>
              <w:rPr>
                <w:rFonts w:asciiTheme="majorHAnsi" w:hAnsiTheme="majorHAnsi"/>
                <w:lang w:val="el-GR"/>
              </w:rPr>
            </w:pPr>
            <w:r w:rsidRPr="003807B5">
              <w:rPr>
                <w:rFonts w:asciiTheme="majorHAnsi" w:hAnsiTheme="majorHAnsi"/>
                <w:lang w:val="el-GR"/>
              </w:rPr>
              <w:t xml:space="preserve">Τα δεδομένα λογιστικών στοιχείων διαβιβάζονται </w:t>
            </w:r>
            <w:r>
              <w:rPr>
                <w:rFonts w:asciiTheme="majorHAnsi" w:hAnsiTheme="majorHAnsi"/>
                <w:lang w:val="el-GR"/>
              </w:rPr>
              <w:t xml:space="preserve">καταρχήν </w:t>
            </w:r>
            <w:r w:rsidRPr="003807B5">
              <w:rPr>
                <w:rFonts w:asciiTheme="majorHAnsi" w:hAnsiTheme="majorHAnsi"/>
                <w:lang w:val="el-GR"/>
              </w:rPr>
              <w:t>από τον εκδότη τους</w:t>
            </w:r>
            <w:r>
              <w:rPr>
                <w:rFonts w:asciiTheme="majorHAnsi" w:hAnsiTheme="majorHAnsi"/>
                <w:lang w:val="el-GR"/>
              </w:rPr>
              <w:t xml:space="preserve">. Ωστόσο, </w:t>
            </w:r>
            <w:r w:rsidRPr="008C6E04">
              <w:rPr>
                <w:rFonts w:asciiTheme="majorHAnsi" w:hAnsiTheme="majorHAnsi"/>
                <w:b/>
                <w:lang w:val="el-GR"/>
              </w:rPr>
              <w:t>τα κατωτέρω διαβιβάζονται κατ’ εξαίρεση από τον λήπτη</w:t>
            </w:r>
            <w:r w:rsidR="008C6E04" w:rsidRPr="008C6E04">
              <w:rPr>
                <w:rFonts w:asciiTheme="majorHAnsi" w:hAnsiTheme="majorHAnsi"/>
                <w:b/>
                <w:lang w:val="el-GR"/>
              </w:rPr>
              <w:t xml:space="preserve"> δικηγόρο</w:t>
            </w:r>
            <w:r w:rsidR="001A5D54">
              <w:rPr>
                <w:rFonts w:asciiTheme="majorHAnsi" w:hAnsiTheme="majorHAnsi"/>
                <w:lang w:val="el-GR"/>
              </w:rPr>
              <w:t>:</w:t>
            </w:r>
          </w:p>
          <w:p w14:paraId="63837215" w14:textId="77777777" w:rsidR="00014803" w:rsidRPr="00CD45F8" w:rsidRDefault="00014803" w:rsidP="0001480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Παραστατικά που αφορούν στην αγορά ηλεκτρικού ρεύματος, φυσικού αερίου, ύδατος μη ιαματικού (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Ε.Υ.Δ.Α.Π</w:t>
            </w:r>
            <w:proofErr w:type="spellEnd"/>
            <w:r w:rsidRPr="00CD45F8">
              <w:rPr>
                <w:rFonts w:asciiTheme="majorHAnsi" w:hAnsiTheme="majorHAnsi"/>
                <w:lang w:val="el-GR"/>
              </w:rPr>
              <w:t xml:space="preserve">., λοιποί 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πάροχοι</w:t>
            </w:r>
            <w:proofErr w:type="spellEnd"/>
            <w:r w:rsidRPr="00CD45F8">
              <w:rPr>
                <w:rFonts w:asciiTheme="majorHAnsi" w:hAnsiTheme="majorHAnsi"/>
                <w:lang w:val="el-GR"/>
              </w:rPr>
              <w:t xml:space="preserve"> 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κ.λπ</w:t>
            </w:r>
            <w:proofErr w:type="spellEnd"/>
            <w:r w:rsidRPr="00CD45F8">
              <w:rPr>
                <w:rFonts w:asciiTheme="majorHAnsi" w:hAnsiTheme="majorHAnsi"/>
                <w:lang w:val="el-GR"/>
              </w:rPr>
              <w:t>.), τηλεπικοινωνιακών υπηρεσιών και συνδρομητικής τηλεόρασης</w:t>
            </w:r>
          </w:p>
          <w:p w14:paraId="0FAF3B14" w14:textId="77777777" w:rsidR="00014803" w:rsidRPr="00CD45F8" w:rsidRDefault="00014803" w:rsidP="0001480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Παραστατικά διοδίων</w:t>
            </w:r>
          </w:p>
          <w:p w14:paraId="507A391E" w14:textId="77777777" w:rsidR="00014803" w:rsidRPr="00CD45F8" w:rsidRDefault="00014803" w:rsidP="0001480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Παραστατικά συναλλαγών με πιστωτικά ιδρύματα ή την Τράπεζα της Ελλάδος</w:t>
            </w:r>
          </w:p>
          <w:p w14:paraId="071CDF7E" w14:textId="77777777" w:rsidR="00D1449C" w:rsidRPr="00CD45F8" w:rsidRDefault="00D1449C" w:rsidP="00D1449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Παραστατικά λιανικής από την ημεδαπή ή την αλλοδαπή, όπως κοινόχρηστα, συνδρομές, λιανικές συναλλαγές αλλοδαπής</w:t>
            </w:r>
          </w:p>
          <w:p w14:paraId="79B69147" w14:textId="77777777" w:rsidR="00D1449C" w:rsidRPr="00CD45F8" w:rsidRDefault="00D1449C" w:rsidP="00D1449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Παραστατικά καταβολής εισφορών σε ασφαλιστικά ταμεία</w:t>
            </w:r>
          </w:p>
          <w:p w14:paraId="0FF2275A" w14:textId="696B62B8" w:rsidR="00014803" w:rsidRPr="00CD45F8" w:rsidRDefault="00014803" w:rsidP="0001480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Παραστατικά από μη υπόχρεες οντότητες της αλλοδαπής (</w:t>
            </w:r>
            <w:proofErr w:type="spellStart"/>
            <w:r w:rsidRPr="00CD45F8">
              <w:rPr>
                <w:rFonts w:asciiTheme="majorHAnsi" w:hAnsiTheme="majorHAnsi"/>
                <w:lang w:val="el-GR"/>
              </w:rPr>
              <w:t>π.χ</w:t>
            </w:r>
            <w:proofErr w:type="spellEnd"/>
            <w:r w:rsidRPr="00CD45F8">
              <w:rPr>
                <w:rFonts w:asciiTheme="majorHAnsi" w:hAnsiTheme="majorHAnsi"/>
                <w:lang w:val="el-GR"/>
              </w:rPr>
              <w:t>. ενδοκοινοτικές αποκτήσεις, εισαγωγές από τρίτες χώρες, λήψεις υπηρεσιών</w:t>
            </w:r>
            <w:r w:rsidR="00BA422B">
              <w:rPr>
                <w:rFonts w:asciiTheme="majorHAnsi" w:hAnsiTheme="majorHAnsi"/>
                <w:lang w:val="el-GR"/>
              </w:rPr>
              <w:t>,</w:t>
            </w:r>
            <w:r w:rsidRPr="00CD45F8">
              <w:rPr>
                <w:rFonts w:asciiTheme="majorHAnsi" w:hAnsiTheme="majorHAnsi"/>
                <w:lang w:val="el-GR"/>
              </w:rPr>
              <w:t xml:space="preserve"> είτε ενδοκοινοτικές είτε από τρίτες χώρες)</w:t>
            </w:r>
          </w:p>
        </w:tc>
        <w:tc>
          <w:tcPr>
            <w:tcW w:w="3730" w:type="dxa"/>
          </w:tcPr>
          <w:p w14:paraId="4245EE9F" w14:textId="77777777" w:rsidR="00014803" w:rsidRPr="00CD45F8" w:rsidRDefault="00014803" w:rsidP="00610D04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0FE013CB" w14:textId="77777777" w:rsidR="00014803" w:rsidRPr="00CD45F8" w:rsidRDefault="00014803" w:rsidP="00610D04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1C1AED1B" w14:textId="77777777" w:rsidR="00014803" w:rsidRPr="00CD45F8" w:rsidRDefault="00014803" w:rsidP="00014803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28F87005" w14:textId="77777777" w:rsidR="00014803" w:rsidRPr="00CD45F8" w:rsidRDefault="00014803" w:rsidP="00014803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5006F56E" w14:textId="77777777" w:rsidR="00014803" w:rsidRPr="00CD45F8" w:rsidRDefault="00014803" w:rsidP="00014803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360267E2" w14:textId="77777777" w:rsidR="00014803" w:rsidRPr="00CD45F8" w:rsidRDefault="00014803" w:rsidP="00014803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15582AA9" w14:textId="77777777" w:rsidR="00014803" w:rsidRPr="00CD45F8" w:rsidRDefault="00014803" w:rsidP="00014803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72695BE6" w14:textId="77777777" w:rsidR="00014803" w:rsidRPr="00CD45F8" w:rsidRDefault="00014803" w:rsidP="00014803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4EF783D6" w14:textId="77777777" w:rsidR="00014803" w:rsidRPr="00CD45F8" w:rsidRDefault="00014803" w:rsidP="00014803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  <w:p w14:paraId="57DC67AF" w14:textId="54312FFD" w:rsidR="00014803" w:rsidRPr="00CD45F8" w:rsidRDefault="00014803" w:rsidP="00610D0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Έως την ημερομηνία υποβολής της οικείας δήλωσης ΦΠΑ.</w:t>
            </w:r>
          </w:p>
          <w:p w14:paraId="13D18E1B" w14:textId="77777777" w:rsidR="00014803" w:rsidRPr="00CD45F8" w:rsidRDefault="00014803" w:rsidP="00E61675">
            <w:pPr>
              <w:jc w:val="center"/>
              <w:rPr>
                <w:rFonts w:asciiTheme="majorHAnsi" w:hAnsiTheme="majorHAnsi"/>
                <w:lang w:val="el-GR"/>
              </w:rPr>
            </w:pPr>
          </w:p>
        </w:tc>
      </w:tr>
      <w:tr w:rsidR="006F443F" w:rsidRPr="00CD45F8" w14:paraId="7D209830" w14:textId="77777777" w:rsidTr="006F443F">
        <w:tc>
          <w:tcPr>
            <w:tcW w:w="4786" w:type="dxa"/>
          </w:tcPr>
          <w:p w14:paraId="4F0C2A4E" w14:textId="23B00FE2" w:rsidR="008717F1" w:rsidRPr="00CD45F8" w:rsidRDefault="008717F1" w:rsidP="00E6167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lang w:val="el-GR"/>
              </w:rPr>
            </w:pPr>
            <w:r w:rsidRPr="008C6E04">
              <w:rPr>
                <w:rFonts w:asciiTheme="majorHAnsi" w:hAnsiTheme="majorHAnsi"/>
                <w:b/>
                <w:lang w:val="el-GR"/>
              </w:rPr>
              <w:t>Παραστατικά για τα οποία ο εκδότης δεν τήρησε την υποχρέωση</w:t>
            </w:r>
            <w:r w:rsidRPr="00CD45F8">
              <w:rPr>
                <w:rFonts w:asciiTheme="majorHAnsi" w:hAnsiTheme="majorHAnsi"/>
                <w:lang w:val="el-GR"/>
              </w:rPr>
              <w:t xml:space="preserve"> ηλεκτρονικής διαβίβασης τους εντός των τιθέμενων προθεσμιών</w:t>
            </w:r>
            <w:r w:rsidR="003807B5">
              <w:rPr>
                <w:rFonts w:asciiTheme="majorHAnsi" w:hAnsiTheme="majorHAnsi"/>
                <w:lang w:val="el-GR"/>
              </w:rPr>
              <w:t xml:space="preserve">. </w:t>
            </w:r>
          </w:p>
          <w:p w14:paraId="64A79DBC" w14:textId="7F17CC79" w:rsidR="003965B9" w:rsidRPr="00CD45F8" w:rsidRDefault="003965B9" w:rsidP="003965B9">
            <w:pPr>
              <w:pStyle w:val="ListParagraph"/>
              <w:ind w:left="360"/>
              <w:rPr>
                <w:rFonts w:asciiTheme="majorHAnsi" w:hAnsiTheme="majorHAnsi"/>
                <w:lang w:val="el-GR"/>
              </w:rPr>
            </w:pPr>
          </w:p>
        </w:tc>
        <w:tc>
          <w:tcPr>
            <w:tcW w:w="3730" w:type="dxa"/>
            <w:vMerge w:val="restart"/>
          </w:tcPr>
          <w:p w14:paraId="09F310A7" w14:textId="0CB91A1A" w:rsidR="008717F1" w:rsidRPr="00CD45F8" w:rsidRDefault="00B2177C" w:rsidP="00B217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Ε</w:t>
            </w:r>
            <w:r w:rsidR="008717F1" w:rsidRPr="00CD45F8">
              <w:rPr>
                <w:rFonts w:asciiTheme="majorHAnsi" w:hAnsiTheme="majorHAnsi"/>
                <w:lang w:val="el-GR"/>
              </w:rPr>
              <w:t>ντός 2 μηνών από την ημερομηνία υποβολής της οικείας δήλωσης ΦΠΑ</w:t>
            </w:r>
            <w:r w:rsidR="00597304">
              <w:rPr>
                <w:rFonts w:asciiTheme="majorHAnsi" w:hAnsiTheme="majorHAnsi"/>
                <w:lang w:val="el-GR"/>
              </w:rPr>
              <w:t xml:space="preserve"> (των τηρούντων απλογραφικό σύστημα)</w:t>
            </w:r>
            <w:r w:rsidR="00E04000" w:rsidRPr="00CD45F8">
              <w:rPr>
                <w:rFonts w:asciiTheme="majorHAnsi" w:hAnsiTheme="majorHAnsi"/>
                <w:lang w:val="el-GR"/>
              </w:rPr>
              <w:t>.</w:t>
            </w:r>
          </w:p>
          <w:p w14:paraId="0D5B282A" w14:textId="192382F1" w:rsidR="008717F1" w:rsidRPr="00CD45F8" w:rsidRDefault="008717F1" w:rsidP="00B217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Στην περίπτ</w:t>
            </w:r>
            <w:r w:rsidR="0030095B" w:rsidRPr="00CD45F8">
              <w:rPr>
                <w:rFonts w:asciiTheme="majorHAnsi" w:hAnsiTheme="majorHAnsi"/>
                <w:lang w:val="el-GR"/>
              </w:rPr>
              <w:t>ωση</w:t>
            </w:r>
            <w:r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53720E" w:rsidRPr="00CD45F8">
              <w:rPr>
                <w:rFonts w:asciiTheme="majorHAnsi" w:hAnsiTheme="majorHAnsi"/>
                <w:lang w:val="el-GR"/>
              </w:rPr>
              <w:t xml:space="preserve">κατά την οποία </w:t>
            </w:r>
            <w:r w:rsidR="0030095B" w:rsidRPr="00CD45F8">
              <w:rPr>
                <w:rFonts w:asciiTheme="majorHAnsi" w:hAnsiTheme="majorHAnsi"/>
                <w:lang w:val="el-GR"/>
              </w:rPr>
              <w:t xml:space="preserve">ο εκδότης </w:t>
            </w:r>
            <w:r w:rsidR="000020B6" w:rsidRPr="00CD45F8">
              <w:rPr>
                <w:rFonts w:asciiTheme="majorHAnsi" w:hAnsiTheme="majorHAnsi"/>
                <w:lang w:val="el-GR"/>
              </w:rPr>
              <w:t xml:space="preserve">του παραστατικού </w:t>
            </w:r>
            <w:r w:rsidR="0068023A" w:rsidRPr="00CD45F8">
              <w:rPr>
                <w:rFonts w:asciiTheme="majorHAnsi" w:hAnsiTheme="majorHAnsi"/>
                <w:lang w:val="el-GR"/>
              </w:rPr>
              <w:t xml:space="preserve">έχει </w:t>
            </w:r>
            <w:r w:rsidR="0053720E" w:rsidRPr="00CD45F8">
              <w:rPr>
                <w:rFonts w:asciiTheme="majorHAnsi" w:hAnsiTheme="majorHAnsi"/>
                <w:lang w:val="el-GR"/>
              </w:rPr>
              <w:t>διαβιβάσ</w:t>
            </w:r>
            <w:r w:rsidR="0030095B" w:rsidRPr="00CD45F8">
              <w:rPr>
                <w:rFonts w:asciiTheme="majorHAnsi" w:hAnsiTheme="majorHAnsi"/>
                <w:lang w:val="el-GR"/>
              </w:rPr>
              <w:t>ει δεδομένα με απόκλιση, ο λήπτης</w:t>
            </w:r>
            <w:r w:rsidRPr="00CD45F8">
              <w:rPr>
                <w:rFonts w:asciiTheme="majorHAnsi" w:hAnsiTheme="majorHAnsi"/>
                <w:lang w:val="el-GR"/>
              </w:rPr>
              <w:t xml:space="preserve"> διαβιβάζε</w:t>
            </w:r>
            <w:r w:rsidR="0030095B" w:rsidRPr="00CD45F8">
              <w:rPr>
                <w:rFonts w:asciiTheme="majorHAnsi" w:hAnsiTheme="majorHAnsi"/>
                <w:lang w:val="el-GR"/>
              </w:rPr>
              <w:t>ι</w:t>
            </w:r>
            <w:r w:rsidRPr="00CD45F8">
              <w:rPr>
                <w:rFonts w:asciiTheme="majorHAnsi" w:hAnsiTheme="majorHAnsi"/>
                <w:lang w:val="el-GR"/>
              </w:rPr>
              <w:t xml:space="preserve"> σχετική επισήμανση</w:t>
            </w:r>
            <w:r w:rsidR="0053720E" w:rsidRPr="00CD45F8">
              <w:rPr>
                <w:rFonts w:asciiTheme="majorHAnsi" w:hAnsiTheme="majorHAnsi"/>
                <w:lang w:val="el-GR"/>
              </w:rPr>
              <w:t xml:space="preserve"> περί απόκλισης διαβίβασης,</w:t>
            </w:r>
            <w:r w:rsidRPr="00CD45F8">
              <w:rPr>
                <w:rFonts w:asciiTheme="majorHAnsi" w:hAnsiTheme="majorHAnsi"/>
                <w:lang w:val="el-GR"/>
              </w:rPr>
              <w:t xml:space="preserve"> εντός της ίδιας ως άνω προθεσμίας</w:t>
            </w:r>
          </w:p>
        </w:tc>
      </w:tr>
      <w:tr w:rsidR="006F443F" w:rsidRPr="00CD45F8" w14:paraId="645CB435" w14:textId="77777777" w:rsidTr="006F443F">
        <w:tc>
          <w:tcPr>
            <w:tcW w:w="4786" w:type="dxa"/>
          </w:tcPr>
          <w:p w14:paraId="35763DA8" w14:textId="73EA869E" w:rsidR="008717F1" w:rsidRPr="00CD45F8" w:rsidRDefault="008717F1" w:rsidP="008717F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lang w:val="el-GR"/>
              </w:rPr>
            </w:pPr>
            <w:r w:rsidRPr="003F486B">
              <w:rPr>
                <w:rFonts w:asciiTheme="majorHAnsi" w:hAnsiTheme="majorHAnsi"/>
                <w:lang w:val="el-GR"/>
              </w:rPr>
              <w:t xml:space="preserve">Παραστατικά </w:t>
            </w:r>
            <w:r w:rsidRPr="00CD45F8">
              <w:rPr>
                <w:rFonts w:asciiTheme="majorHAnsi" w:hAnsiTheme="majorHAnsi"/>
                <w:lang w:val="el-GR"/>
              </w:rPr>
              <w:t xml:space="preserve">για τα οποία ο εκδότης διαβίβασε </w:t>
            </w:r>
            <w:r w:rsidRPr="003F486B">
              <w:rPr>
                <w:rFonts w:asciiTheme="majorHAnsi" w:hAnsiTheme="majorHAnsi"/>
                <w:b/>
                <w:lang w:val="el-GR"/>
              </w:rPr>
              <w:t>δεδομένα με</w:t>
            </w:r>
            <w:r w:rsidRPr="00CD45F8">
              <w:rPr>
                <w:rFonts w:asciiTheme="majorHAnsi" w:hAnsiTheme="majorHAnsi"/>
                <w:lang w:val="el-GR"/>
              </w:rPr>
              <w:t xml:space="preserve"> </w:t>
            </w:r>
            <w:r w:rsidRPr="008C6E04">
              <w:rPr>
                <w:rFonts w:asciiTheme="majorHAnsi" w:hAnsiTheme="majorHAnsi"/>
                <w:b/>
                <w:lang w:val="el-GR"/>
              </w:rPr>
              <w:t>απόκλιση</w:t>
            </w:r>
          </w:p>
        </w:tc>
        <w:tc>
          <w:tcPr>
            <w:tcW w:w="3730" w:type="dxa"/>
            <w:vMerge/>
          </w:tcPr>
          <w:p w14:paraId="14282D40" w14:textId="33817F07" w:rsidR="008717F1" w:rsidRPr="00CD45F8" w:rsidRDefault="008717F1" w:rsidP="00B82814">
            <w:pPr>
              <w:jc w:val="center"/>
              <w:rPr>
                <w:rFonts w:asciiTheme="majorHAnsi" w:hAnsiTheme="majorHAnsi"/>
                <w:lang w:val="el-GR"/>
              </w:rPr>
            </w:pPr>
          </w:p>
        </w:tc>
      </w:tr>
    </w:tbl>
    <w:p w14:paraId="1E588925" w14:textId="77777777" w:rsidR="003807B5" w:rsidRPr="00CD45F8" w:rsidRDefault="003807B5" w:rsidP="008068E5">
      <w:pPr>
        <w:rPr>
          <w:rFonts w:asciiTheme="majorHAnsi" w:hAnsiTheme="majorHAns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3730"/>
      </w:tblGrid>
      <w:tr w:rsidR="008C6E04" w:rsidRPr="00CD45F8" w14:paraId="3000D4E3" w14:textId="77777777" w:rsidTr="007D40F0">
        <w:tc>
          <w:tcPr>
            <w:tcW w:w="8516" w:type="dxa"/>
            <w:gridSpan w:val="2"/>
            <w:shd w:val="clear" w:color="auto" w:fill="DBE5F1" w:themeFill="accent1" w:themeFillTint="33"/>
          </w:tcPr>
          <w:p w14:paraId="4D8CDCD6" w14:textId="3593ADC3" w:rsidR="008C6E04" w:rsidRPr="00CD45F8" w:rsidRDefault="008C6E04" w:rsidP="00A34E1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proofErr w:type="spellStart"/>
            <w:r>
              <w:rPr>
                <w:rFonts w:asciiTheme="majorHAnsi" w:hAnsiTheme="majorHAnsi"/>
                <w:b/>
                <w:lang w:val="el-GR"/>
              </w:rPr>
              <w:t>ΠΙΝΑΚΑΣ</w:t>
            </w:r>
            <w:proofErr w:type="spellEnd"/>
            <w:r>
              <w:rPr>
                <w:rFonts w:asciiTheme="majorHAnsi" w:hAnsiTheme="majorHAnsi"/>
                <w:b/>
                <w:lang w:val="el-GR"/>
              </w:rPr>
              <w:t xml:space="preserve"> 3. </w:t>
            </w:r>
            <w:r w:rsidR="00A34E15">
              <w:rPr>
                <w:rFonts w:asciiTheme="majorHAnsi" w:hAnsiTheme="majorHAnsi"/>
                <w:b/>
                <w:lang w:val="el-GR"/>
              </w:rPr>
              <w:t>Διαβίβαση λοιπών δεδομένων</w:t>
            </w:r>
          </w:p>
        </w:tc>
      </w:tr>
      <w:tr w:rsidR="008068E5" w:rsidRPr="00CD45F8" w14:paraId="3C9DB1A0" w14:textId="77777777" w:rsidTr="00A20939">
        <w:tc>
          <w:tcPr>
            <w:tcW w:w="4786" w:type="dxa"/>
            <w:shd w:val="clear" w:color="auto" w:fill="DBE5F1" w:themeFill="accent1" w:themeFillTint="33"/>
          </w:tcPr>
          <w:p w14:paraId="54E4BB69" w14:textId="64EAEDCC" w:rsidR="008068E5" w:rsidRPr="00CD45F8" w:rsidRDefault="00014803" w:rsidP="00CA566B">
            <w:pPr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 xml:space="preserve"> </w:t>
            </w:r>
            <w:r w:rsidR="008068E5" w:rsidRPr="00CD45F8">
              <w:rPr>
                <w:rFonts w:asciiTheme="majorHAnsi" w:hAnsiTheme="majorHAnsi"/>
                <w:b/>
                <w:lang w:val="el-GR"/>
              </w:rPr>
              <w:t>Λοιπά δεδομένα που διαβιβάζονται</w:t>
            </w:r>
          </w:p>
        </w:tc>
        <w:tc>
          <w:tcPr>
            <w:tcW w:w="3730" w:type="dxa"/>
            <w:shd w:val="clear" w:color="auto" w:fill="DBE5F1" w:themeFill="accent1" w:themeFillTint="33"/>
          </w:tcPr>
          <w:p w14:paraId="65F6801C" w14:textId="521D43FE" w:rsidR="008068E5" w:rsidRPr="00CD45F8" w:rsidRDefault="008068E5" w:rsidP="008068E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Χρόνος διαβίβασης</w:t>
            </w:r>
          </w:p>
        </w:tc>
      </w:tr>
      <w:tr w:rsidR="008068E5" w:rsidRPr="00CD45F8" w14:paraId="1CC19573" w14:textId="77777777" w:rsidTr="00A20939">
        <w:tc>
          <w:tcPr>
            <w:tcW w:w="4786" w:type="dxa"/>
          </w:tcPr>
          <w:p w14:paraId="08B41FD8" w14:textId="016CFB21" w:rsidR="008068E5" w:rsidRPr="00CD45F8" w:rsidRDefault="008068E5" w:rsidP="00B2177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Εγγραφές τακτοποίησης εσόδων/εξόδων</w:t>
            </w:r>
          </w:p>
        </w:tc>
        <w:tc>
          <w:tcPr>
            <w:tcW w:w="3730" w:type="dxa"/>
          </w:tcPr>
          <w:p w14:paraId="01365759" w14:textId="005B5987" w:rsidR="008068E5" w:rsidRPr="00CD45F8" w:rsidRDefault="00DE64A9" w:rsidP="00B2177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Έως την υποβολή της δήλωσης φορολογίας εισοδήματος</w:t>
            </w:r>
          </w:p>
        </w:tc>
      </w:tr>
      <w:tr w:rsidR="008068E5" w:rsidRPr="00CD45F8" w14:paraId="16F12E31" w14:textId="77777777" w:rsidTr="00A20939">
        <w:tc>
          <w:tcPr>
            <w:tcW w:w="4786" w:type="dxa"/>
          </w:tcPr>
          <w:p w14:paraId="498F2562" w14:textId="3FBDEAA5" w:rsidR="008068E5" w:rsidRPr="00CD45F8" w:rsidRDefault="008068E5" w:rsidP="00B2177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Εγγραφές μισθοδοσίας (εφόσον απασχολείται προσωπικό)</w:t>
            </w:r>
          </w:p>
        </w:tc>
        <w:tc>
          <w:tcPr>
            <w:tcW w:w="3730" w:type="dxa"/>
          </w:tcPr>
          <w:p w14:paraId="139A0652" w14:textId="072C9708" w:rsidR="008068E5" w:rsidRPr="00CD45F8" w:rsidRDefault="00DE64A9" w:rsidP="00B2177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Έως την υποβολή της δήλωσης για την απόδοση του σχετικού παρακρατούμενου φόρου</w:t>
            </w:r>
          </w:p>
        </w:tc>
      </w:tr>
    </w:tbl>
    <w:p w14:paraId="58012CEF" w14:textId="77777777" w:rsidR="00671153" w:rsidRPr="00CD45F8" w:rsidRDefault="00671153" w:rsidP="00CB3B09">
      <w:pPr>
        <w:jc w:val="both"/>
        <w:rPr>
          <w:rFonts w:asciiTheme="majorHAnsi" w:hAnsiTheme="majorHAns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3872"/>
      </w:tblGrid>
      <w:tr w:rsidR="00707B0A" w:rsidRPr="00CD45F8" w14:paraId="0995C899" w14:textId="77777777" w:rsidTr="00707B0A">
        <w:tc>
          <w:tcPr>
            <w:tcW w:w="8516" w:type="dxa"/>
            <w:gridSpan w:val="2"/>
            <w:shd w:val="clear" w:color="auto" w:fill="C2D69B" w:themeFill="accent3" w:themeFillTint="99"/>
          </w:tcPr>
          <w:p w14:paraId="0445ECB0" w14:textId="2224166D" w:rsidR="00707B0A" w:rsidRPr="00CD45F8" w:rsidRDefault="00D36309" w:rsidP="00707B0A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proofErr w:type="spellStart"/>
            <w:r>
              <w:rPr>
                <w:rFonts w:asciiTheme="majorHAnsi" w:hAnsiTheme="majorHAnsi"/>
                <w:b/>
                <w:lang w:val="el-GR"/>
              </w:rPr>
              <w:t>ΠΙΝΑΚΑΣ</w:t>
            </w:r>
            <w:proofErr w:type="spellEnd"/>
            <w:r>
              <w:rPr>
                <w:rFonts w:asciiTheme="majorHAnsi" w:hAnsiTheme="majorHAnsi"/>
                <w:b/>
                <w:lang w:val="el-GR"/>
              </w:rPr>
              <w:t xml:space="preserve"> </w:t>
            </w:r>
            <w:r w:rsidR="00EA5617">
              <w:rPr>
                <w:rFonts w:asciiTheme="majorHAnsi" w:hAnsiTheme="majorHAnsi"/>
                <w:b/>
                <w:lang w:val="el-GR"/>
              </w:rPr>
              <w:t xml:space="preserve">4. </w:t>
            </w:r>
            <w:r>
              <w:rPr>
                <w:rFonts w:asciiTheme="majorHAnsi" w:hAnsiTheme="majorHAnsi"/>
                <w:b/>
                <w:lang w:val="el-GR"/>
              </w:rPr>
              <w:t>Ειδικές π</w:t>
            </w:r>
            <w:r w:rsidR="00707B0A" w:rsidRPr="00CD45F8">
              <w:rPr>
                <w:rFonts w:asciiTheme="majorHAnsi" w:hAnsiTheme="majorHAnsi"/>
                <w:b/>
                <w:lang w:val="el-GR"/>
              </w:rPr>
              <w:t>ροθεσμίες διαβίβασης δεδομένων</w:t>
            </w:r>
            <w:r>
              <w:rPr>
                <w:rFonts w:asciiTheme="majorHAnsi" w:hAnsiTheme="majorHAnsi"/>
                <w:b/>
                <w:lang w:val="el-G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l-GR"/>
              </w:rPr>
              <w:t>ΜΟΝΟ</w:t>
            </w:r>
            <w:proofErr w:type="spellEnd"/>
            <w:r w:rsidR="00707B0A" w:rsidRPr="00CD45F8">
              <w:rPr>
                <w:rFonts w:asciiTheme="majorHAnsi" w:hAnsiTheme="majorHAnsi"/>
                <w:b/>
                <w:lang w:val="el-GR"/>
              </w:rPr>
              <w:t xml:space="preserve"> για το έτος 2021</w:t>
            </w:r>
          </w:p>
        </w:tc>
      </w:tr>
      <w:tr w:rsidR="007550B8" w:rsidRPr="00CD45F8" w14:paraId="335F2EBC" w14:textId="77777777" w:rsidTr="007550B8">
        <w:tc>
          <w:tcPr>
            <w:tcW w:w="4644" w:type="dxa"/>
            <w:shd w:val="clear" w:color="auto" w:fill="D6E3BC" w:themeFill="accent3" w:themeFillTint="66"/>
          </w:tcPr>
          <w:p w14:paraId="36785595" w14:textId="46D3F964" w:rsidR="00581F85" w:rsidRPr="00CD45F8" w:rsidRDefault="00581F85" w:rsidP="00800DD1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Δεδομένα</w:t>
            </w:r>
          </w:p>
        </w:tc>
        <w:tc>
          <w:tcPr>
            <w:tcW w:w="3872" w:type="dxa"/>
            <w:shd w:val="clear" w:color="auto" w:fill="D6E3BC" w:themeFill="accent3" w:themeFillTint="66"/>
          </w:tcPr>
          <w:p w14:paraId="4177FE2F" w14:textId="1CBC4DED" w:rsidR="00581F85" w:rsidRPr="00CD45F8" w:rsidRDefault="00581F85" w:rsidP="00800DD1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Χρόνος διαβίβασης</w:t>
            </w:r>
          </w:p>
        </w:tc>
      </w:tr>
      <w:tr w:rsidR="007550B8" w:rsidRPr="00CD45F8" w14:paraId="23AA6056" w14:textId="77777777" w:rsidTr="007550B8">
        <w:tc>
          <w:tcPr>
            <w:tcW w:w="4644" w:type="dxa"/>
          </w:tcPr>
          <w:p w14:paraId="67E40904" w14:textId="20A0AE8C" w:rsidR="003A1BB7" w:rsidRPr="00CD45F8" w:rsidRDefault="004152B8" w:rsidP="004152B8">
            <w:pPr>
              <w:rPr>
                <w:rFonts w:asciiTheme="majorHAnsi" w:hAnsiTheme="majorHAnsi"/>
                <w:lang w:val="el-GR"/>
              </w:rPr>
            </w:pPr>
            <w:r w:rsidRPr="00F83B2A">
              <w:rPr>
                <w:rFonts w:asciiTheme="majorHAnsi" w:hAnsiTheme="majorHAnsi"/>
                <w:lang w:val="el-GR"/>
              </w:rPr>
              <w:t xml:space="preserve">Δεδομένα </w:t>
            </w:r>
            <w:r w:rsidR="00F83B2A" w:rsidRPr="00F83B2A">
              <w:rPr>
                <w:rFonts w:asciiTheme="majorHAnsi" w:hAnsiTheme="majorHAnsi"/>
                <w:lang w:val="el-GR"/>
              </w:rPr>
              <w:t>εσόδων</w:t>
            </w:r>
            <w:r w:rsidR="00F83B2A">
              <w:rPr>
                <w:rFonts w:asciiTheme="majorHAnsi" w:hAnsiTheme="majorHAnsi"/>
                <w:lang w:val="el-GR"/>
              </w:rPr>
              <w:t xml:space="preserve"> </w:t>
            </w:r>
            <w:r w:rsidR="00F83B2A" w:rsidRPr="00CD45F8">
              <w:rPr>
                <w:rFonts w:asciiTheme="majorHAnsi" w:hAnsiTheme="majorHAnsi"/>
                <w:lang w:val="el-GR"/>
              </w:rPr>
              <w:t xml:space="preserve">που αφορούν σε στοιχεία </w:t>
            </w:r>
            <w:r w:rsidR="003A1BB7" w:rsidRPr="00CD45F8">
              <w:rPr>
                <w:rFonts w:asciiTheme="majorHAnsi" w:hAnsiTheme="majorHAnsi"/>
                <w:lang w:val="el-GR"/>
              </w:rPr>
              <w:t>που εκδόθηκαν:</w:t>
            </w:r>
          </w:p>
          <w:p w14:paraId="143EBF7A" w14:textId="4FBCAC96" w:rsidR="004152B8" w:rsidRPr="00CD45F8" w:rsidRDefault="00E041A5" w:rsidP="003A1BB7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α</w:t>
            </w:r>
            <w:r w:rsidR="003A1BB7" w:rsidRPr="00CD45F8">
              <w:rPr>
                <w:rFonts w:asciiTheme="majorHAnsi" w:hAnsiTheme="majorHAnsi"/>
                <w:b/>
                <w:lang w:val="el-GR"/>
              </w:rPr>
              <w:t>) Από 1.10.2021</w:t>
            </w:r>
            <w:r w:rsidR="004152B8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6E0474" w:rsidRPr="00CD45F8">
              <w:rPr>
                <w:rFonts w:asciiTheme="majorHAnsi" w:hAnsiTheme="majorHAnsi"/>
                <w:lang w:val="el-GR"/>
              </w:rPr>
              <w:t xml:space="preserve">για τις οντότητες </w:t>
            </w:r>
            <w:r w:rsidR="002D54E3" w:rsidRPr="00CD45F8">
              <w:rPr>
                <w:rFonts w:asciiTheme="majorHAnsi" w:hAnsiTheme="majorHAnsi"/>
                <w:lang w:val="el-GR"/>
              </w:rPr>
              <w:t>με</w:t>
            </w:r>
            <w:r w:rsidR="003A1BB7" w:rsidRPr="00CD45F8">
              <w:rPr>
                <w:rFonts w:asciiTheme="majorHAnsi" w:hAnsiTheme="majorHAnsi"/>
                <w:lang w:val="el-GR"/>
              </w:rPr>
              <w:t xml:space="preserve"> απλογ</w:t>
            </w:r>
            <w:r w:rsidR="002D54E3" w:rsidRPr="00CD45F8">
              <w:rPr>
                <w:rFonts w:asciiTheme="majorHAnsi" w:hAnsiTheme="majorHAnsi"/>
                <w:lang w:val="el-GR"/>
              </w:rPr>
              <w:t>ραφικό λογιστικό σύστημα και ακαθάριστα έσοδά</w:t>
            </w:r>
            <w:r w:rsidR="003A1BB7" w:rsidRPr="00CD45F8">
              <w:rPr>
                <w:rFonts w:asciiTheme="majorHAnsi" w:hAnsiTheme="majorHAnsi"/>
                <w:lang w:val="el-GR"/>
              </w:rPr>
              <w:t xml:space="preserve"> το φορολογικό έτος 2019 </w:t>
            </w:r>
            <w:r w:rsidR="008F12BD" w:rsidRPr="00CD45F8">
              <w:rPr>
                <w:rFonts w:asciiTheme="majorHAnsi" w:hAnsiTheme="majorHAnsi"/>
                <w:lang w:val="el-GR"/>
              </w:rPr>
              <w:t>άνω των</w:t>
            </w:r>
            <w:r w:rsidR="002D54E3" w:rsidRPr="00CD45F8">
              <w:rPr>
                <w:rFonts w:asciiTheme="majorHAnsi" w:hAnsiTheme="majorHAnsi"/>
                <w:lang w:val="el-GR"/>
              </w:rPr>
              <w:t xml:space="preserve"> € 100.000, καθώς και </w:t>
            </w:r>
            <w:r w:rsidR="003A1BB7" w:rsidRPr="00CD45F8">
              <w:rPr>
                <w:rFonts w:asciiTheme="majorHAnsi" w:hAnsiTheme="majorHAnsi"/>
                <w:lang w:val="el-GR"/>
              </w:rPr>
              <w:t xml:space="preserve">οντότητες, </w:t>
            </w:r>
            <w:r w:rsidR="002D54E3" w:rsidRPr="00CD45F8">
              <w:rPr>
                <w:rFonts w:asciiTheme="majorHAnsi" w:hAnsiTheme="majorHAnsi"/>
                <w:lang w:val="el-GR"/>
              </w:rPr>
              <w:t xml:space="preserve">με διπλογραφικό σύστημα και ακαθάριστα έσοδά το </w:t>
            </w:r>
            <w:proofErr w:type="spellStart"/>
            <w:r w:rsidR="002D54E3" w:rsidRPr="00CD45F8">
              <w:rPr>
                <w:rFonts w:asciiTheme="majorHAnsi" w:hAnsiTheme="majorHAnsi"/>
                <w:lang w:val="el-GR"/>
              </w:rPr>
              <w:t>φορ.έτος</w:t>
            </w:r>
            <w:proofErr w:type="spellEnd"/>
            <w:r w:rsidR="002D54E3" w:rsidRPr="00CD45F8">
              <w:rPr>
                <w:rFonts w:asciiTheme="majorHAnsi" w:hAnsiTheme="majorHAnsi"/>
                <w:lang w:val="el-GR"/>
              </w:rPr>
              <w:t xml:space="preserve"> 2019</w:t>
            </w:r>
            <w:r w:rsidR="008F12BD" w:rsidRPr="00CD45F8">
              <w:rPr>
                <w:rFonts w:asciiTheme="majorHAnsi" w:hAnsiTheme="majorHAnsi"/>
                <w:lang w:val="el-GR"/>
              </w:rPr>
              <w:t xml:space="preserve"> άνω των € 50.000</w:t>
            </w:r>
          </w:p>
          <w:p w14:paraId="4B9AFA9C" w14:textId="37C17A77" w:rsidR="003A1BB7" w:rsidRPr="00CD45F8" w:rsidRDefault="00E041A5" w:rsidP="004152B8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>β</w:t>
            </w:r>
            <w:r w:rsidR="003A1BB7" w:rsidRPr="00CD45F8">
              <w:rPr>
                <w:rFonts w:asciiTheme="majorHAnsi" w:hAnsiTheme="majorHAnsi"/>
                <w:b/>
                <w:lang w:val="el-GR"/>
              </w:rPr>
              <w:t>) Από 1.11.2021</w:t>
            </w:r>
            <w:r w:rsidR="003A1BB7" w:rsidRPr="00CD45F8">
              <w:rPr>
                <w:rFonts w:asciiTheme="majorHAnsi" w:hAnsiTheme="majorHAnsi"/>
                <w:lang w:val="el-GR"/>
              </w:rPr>
              <w:t xml:space="preserve"> για τις λοιπές οντότητες</w:t>
            </w:r>
          </w:p>
        </w:tc>
        <w:tc>
          <w:tcPr>
            <w:tcW w:w="3872" w:type="dxa"/>
          </w:tcPr>
          <w:p w14:paraId="50695238" w14:textId="141A2040" w:rsidR="005A1234" w:rsidRDefault="002402D5" w:rsidP="003A1BB7">
            <w:pPr>
              <w:rPr>
                <w:rFonts w:asciiTheme="majorHAnsi" w:hAnsiTheme="majorHAnsi"/>
                <w:lang w:val="el-GR"/>
              </w:rPr>
            </w:pPr>
            <w:r w:rsidRPr="008F1635">
              <w:rPr>
                <w:rFonts w:asciiTheme="majorHAnsi" w:hAnsiTheme="majorHAnsi"/>
                <w:lang w:val="el-GR"/>
              </w:rPr>
              <w:t>Εκτιμάται ότι δ</w:t>
            </w:r>
            <w:r w:rsidR="004152B8" w:rsidRPr="008F1635">
              <w:rPr>
                <w:rFonts w:asciiTheme="majorHAnsi" w:hAnsiTheme="majorHAnsi"/>
                <w:lang w:val="el-GR"/>
              </w:rPr>
              <w:t xml:space="preserve">ιαβιβάζονται σύμφωνα με </w:t>
            </w:r>
            <w:r w:rsidR="005A1234">
              <w:rPr>
                <w:rFonts w:asciiTheme="majorHAnsi" w:hAnsiTheme="majorHAnsi"/>
                <w:lang w:val="el-GR"/>
              </w:rPr>
              <w:t xml:space="preserve">τον άνω πίνακα 1. </w:t>
            </w:r>
          </w:p>
          <w:p w14:paraId="2F621794" w14:textId="34BE04D3" w:rsidR="00640B7E" w:rsidRDefault="005A1234" w:rsidP="00F83B2A">
            <w:pPr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Σημειώνεται</w:t>
            </w:r>
            <w:r w:rsidR="00FB69F9">
              <w:rPr>
                <w:rFonts w:asciiTheme="majorHAnsi" w:hAnsiTheme="majorHAnsi"/>
                <w:lang w:val="el-GR"/>
              </w:rPr>
              <w:t xml:space="preserve"> </w:t>
            </w:r>
            <w:r w:rsidR="00F44309">
              <w:rPr>
                <w:rFonts w:asciiTheme="majorHAnsi" w:hAnsiTheme="majorHAnsi"/>
                <w:lang w:val="el-GR"/>
              </w:rPr>
              <w:t xml:space="preserve">ότι η </w:t>
            </w:r>
            <w:r>
              <w:rPr>
                <w:rFonts w:asciiTheme="majorHAnsi" w:hAnsiTheme="majorHAnsi"/>
                <w:lang w:val="el-GR"/>
              </w:rPr>
              <w:t xml:space="preserve">περίοδος </w:t>
            </w:r>
            <w:r w:rsidR="00FB69F9">
              <w:rPr>
                <w:rFonts w:asciiTheme="majorHAnsi" w:hAnsiTheme="majorHAnsi"/>
                <w:lang w:val="el-GR"/>
              </w:rPr>
              <w:t xml:space="preserve">από </w:t>
            </w:r>
            <w:r>
              <w:rPr>
                <w:rFonts w:asciiTheme="majorHAnsi" w:hAnsiTheme="majorHAnsi"/>
                <w:lang w:val="el-GR"/>
              </w:rPr>
              <w:t xml:space="preserve">1/10/2021 ή 1/11/2021 </w:t>
            </w:r>
            <w:r w:rsidR="00FB69F9">
              <w:rPr>
                <w:rFonts w:asciiTheme="majorHAnsi" w:hAnsiTheme="majorHAnsi"/>
                <w:lang w:val="el-GR"/>
              </w:rPr>
              <w:t xml:space="preserve">αντίστοιχα </w:t>
            </w:r>
            <w:r>
              <w:rPr>
                <w:rFonts w:asciiTheme="majorHAnsi" w:hAnsiTheme="majorHAnsi"/>
                <w:lang w:val="el-GR"/>
              </w:rPr>
              <w:t xml:space="preserve">έως 31/12/2021 είναι πιλοτική. </w:t>
            </w:r>
          </w:p>
          <w:p w14:paraId="138D02A0" w14:textId="51E95FB1" w:rsidR="004152B8" w:rsidRPr="00CD45F8" w:rsidRDefault="005A1234" w:rsidP="00F83B2A">
            <w:pPr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Σε περίπτωση εκπρόθεσμης διαβίβαση</w:t>
            </w:r>
            <w:r w:rsidR="00F21A1D">
              <w:rPr>
                <w:rFonts w:asciiTheme="majorHAnsi" w:hAnsiTheme="majorHAnsi"/>
                <w:lang w:val="el-GR"/>
              </w:rPr>
              <w:t>ς</w:t>
            </w:r>
            <w:r>
              <w:rPr>
                <w:rFonts w:asciiTheme="majorHAnsi" w:hAnsiTheme="majorHAnsi"/>
                <w:lang w:val="el-GR"/>
              </w:rPr>
              <w:t xml:space="preserve"> δεδομένων που αφορούν σε στοιχεία </w:t>
            </w:r>
            <w:r w:rsidR="00640B7E">
              <w:rPr>
                <w:rFonts w:asciiTheme="majorHAnsi" w:hAnsiTheme="majorHAnsi"/>
                <w:lang w:val="el-GR"/>
              </w:rPr>
              <w:t>που</w:t>
            </w:r>
            <w:r>
              <w:rPr>
                <w:rFonts w:asciiTheme="majorHAnsi" w:hAnsiTheme="majorHAnsi"/>
                <w:lang w:val="el-GR"/>
              </w:rPr>
              <w:t xml:space="preserve"> </w:t>
            </w:r>
            <w:r w:rsidR="00795700">
              <w:rPr>
                <w:rFonts w:asciiTheme="majorHAnsi" w:hAnsiTheme="majorHAnsi"/>
                <w:lang w:val="el-GR"/>
              </w:rPr>
              <w:t xml:space="preserve">εκδόθηκαν </w:t>
            </w:r>
            <w:r w:rsidR="007550B8">
              <w:rPr>
                <w:rFonts w:asciiTheme="majorHAnsi" w:hAnsiTheme="majorHAnsi"/>
                <w:lang w:val="el-GR"/>
              </w:rPr>
              <w:t xml:space="preserve">κατά </w:t>
            </w:r>
            <w:r>
              <w:rPr>
                <w:rFonts w:asciiTheme="majorHAnsi" w:hAnsiTheme="majorHAnsi"/>
                <w:lang w:val="el-GR"/>
              </w:rPr>
              <w:t>το έτος 2021</w:t>
            </w:r>
            <w:r w:rsidR="00DA16A1">
              <w:rPr>
                <w:rFonts w:asciiTheme="majorHAnsi" w:hAnsiTheme="majorHAnsi"/>
                <w:lang w:val="el-GR"/>
              </w:rPr>
              <w:t>,</w:t>
            </w:r>
            <w:r>
              <w:rPr>
                <w:rFonts w:asciiTheme="majorHAnsi" w:hAnsiTheme="majorHAnsi"/>
                <w:lang w:val="el-GR"/>
              </w:rPr>
              <w:t xml:space="preserve"> δεν επιβάλλονται</w:t>
            </w:r>
            <w:r w:rsidR="00FB69F9">
              <w:rPr>
                <w:rFonts w:asciiTheme="majorHAnsi" w:hAnsiTheme="majorHAnsi"/>
                <w:lang w:val="el-GR"/>
              </w:rPr>
              <w:t xml:space="preserve"> διοικητικά</w:t>
            </w:r>
            <w:r>
              <w:rPr>
                <w:rFonts w:asciiTheme="majorHAnsi" w:hAnsiTheme="majorHAnsi"/>
                <w:lang w:val="el-GR"/>
              </w:rPr>
              <w:t xml:space="preserve"> πρόστιμα/κυρώσεις.</w:t>
            </w:r>
          </w:p>
        </w:tc>
      </w:tr>
      <w:tr w:rsidR="007550B8" w:rsidRPr="00CD45F8" w14:paraId="2FA1DC83" w14:textId="77777777" w:rsidTr="007550B8">
        <w:tc>
          <w:tcPr>
            <w:tcW w:w="4644" w:type="dxa"/>
          </w:tcPr>
          <w:p w14:paraId="13704AA1" w14:textId="48EFCD43" w:rsidR="00A20939" w:rsidRPr="00CD45F8" w:rsidRDefault="00A20939" w:rsidP="00A20939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Δεδομένα</w:t>
            </w:r>
            <w:r w:rsidR="00F83B2A">
              <w:rPr>
                <w:rFonts w:asciiTheme="majorHAnsi" w:hAnsiTheme="majorHAnsi"/>
                <w:lang w:val="el-GR"/>
              </w:rPr>
              <w:t xml:space="preserve"> εσόδων</w:t>
            </w:r>
            <w:r w:rsidRPr="00CD45F8">
              <w:rPr>
                <w:rFonts w:asciiTheme="majorHAnsi" w:hAnsiTheme="majorHAnsi"/>
                <w:lang w:val="el-GR"/>
              </w:rPr>
              <w:t xml:space="preserve"> που αφορο</w:t>
            </w:r>
            <w:r w:rsidR="002726E6">
              <w:rPr>
                <w:rFonts w:asciiTheme="majorHAnsi" w:hAnsiTheme="majorHAnsi"/>
                <w:lang w:val="el-GR"/>
              </w:rPr>
              <w:t>ύν σε</w:t>
            </w:r>
            <w:r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3244B2">
              <w:rPr>
                <w:rFonts w:asciiTheme="majorHAnsi" w:hAnsiTheme="majorHAnsi"/>
                <w:lang w:val="el-GR"/>
              </w:rPr>
              <w:t xml:space="preserve">στοιχεία </w:t>
            </w:r>
            <w:r w:rsidR="00D123CB">
              <w:rPr>
                <w:rFonts w:asciiTheme="majorHAnsi" w:hAnsiTheme="majorHAnsi"/>
                <w:lang w:val="el-GR"/>
              </w:rPr>
              <w:t>που εκδόθηκαν</w:t>
            </w:r>
            <w:r w:rsidR="003244B2">
              <w:rPr>
                <w:rFonts w:asciiTheme="majorHAnsi" w:hAnsiTheme="majorHAnsi"/>
                <w:lang w:val="el-GR"/>
              </w:rPr>
              <w:t xml:space="preserve"> κατά την χρονική περίοδο</w:t>
            </w:r>
            <w:r w:rsidRPr="00CD45F8">
              <w:rPr>
                <w:rFonts w:asciiTheme="majorHAnsi" w:hAnsiTheme="majorHAnsi"/>
                <w:lang w:val="el-GR"/>
              </w:rPr>
              <w:t xml:space="preserve">: </w:t>
            </w:r>
          </w:p>
          <w:p w14:paraId="2CE416F4" w14:textId="232D6F20" w:rsidR="00A20939" w:rsidRPr="00CD45F8" w:rsidRDefault="00E041A5" w:rsidP="00133EEA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 xml:space="preserve">α) </w:t>
            </w:r>
            <w:r w:rsidR="00A20939" w:rsidRPr="00CD45F8">
              <w:rPr>
                <w:rFonts w:asciiTheme="majorHAnsi" w:hAnsiTheme="majorHAnsi"/>
                <w:b/>
                <w:lang w:val="el-GR"/>
              </w:rPr>
              <w:t>01.01.2021 - 30.09.2021</w:t>
            </w:r>
            <w:r w:rsidR="00A20939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133EEA" w:rsidRPr="00CD45F8">
              <w:rPr>
                <w:rFonts w:asciiTheme="majorHAnsi" w:hAnsiTheme="majorHAnsi"/>
                <w:lang w:val="el-GR"/>
              </w:rPr>
              <w:t>για τις ο</w:t>
            </w:r>
            <w:r w:rsidR="008A3009" w:rsidRPr="00CD45F8">
              <w:rPr>
                <w:rFonts w:asciiTheme="majorHAnsi" w:hAnsiTheme="majorHAnsi"/>
                <w:lang w:val="el-GR"/>
              </w:rPr>
              <w:t>ντότητες</w:t>
            </w:r>
            <w:r w:rsidR="00133EEA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8A3009" w:rsidRPr="00CD45F8">
              <w:rPr>
                <w:rFonts w:asciiTheme="majorHAnsi" w:hAnsiTheme="majorHAnsi"/>
                <w:lang w:val="el-GR"/>
              </w:rPr>
              <w:t xml:space="preserve">με απλογραφικό σύστημα και ακαθάριστα έσοδά </w:t>
            </w:r>
            <w:r w:rsidR="00480EBA" w:rsidRPr="00CD45F8">
              <w:rPr>
                <w:rFonts w:asciiTheme="majorHAnsi" w:hAnsiTheme="majorHAnsi"/>
                <w:lang w:val="el-GR"/>
              </w:rPr>
              <w:t xml:space="preserve">το </w:t>
            </w:r>
            <w:r w:rsidR="00133EEA" w:rsidRPr="00CD45F8">
              <w:rPr>
                <w:rFonts w:asciiTheme="majorHAnsi" w:hAnsiTheme="majorHAnsi"/>
                <w:lang w:val="el-GR"/>
              </w:rPr>
              <w:t xml:space="preserve">2019 </w:t>
            </w:r>
            <w:r w:rsidR="008A3009" w:rsidRPr="00CD45F8">
              <w:rPr>
                <w:rFonts w:asciiTheme="majorHAnsi" w:hAnsiTheme="majorHAnsi"/>
                <w:lang w:val="el-GR"/>
              </w:rPr>
              <w:t xml:space="preserve">άνω των </w:t>
            </w:r>
            <w:r w:rsidR="00133EEA" w:rsidRPr="00CD45F8">
              <w:rPr>
                <w:rFonts w:asciiTheme="majorHAnsi" w:hAnsiTheme="majorHAnsi"/>
                <w:lang w:val="el-GR"/>
              </w:rPr>
              <w:t>€ 100.000</w:t>
            </w:r>
            <w:r w:rsidR="008A3009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133EEA" w:rsidRPr="00CD45F8">
              <w:rPr>
                <w:rFonts w:asciiTheme="majorHAnsi" w:hAnsiTheme="majorHAnsi"/>
                <w:lang w:val="el-GR"/>
              </w:rPr>
              <w:t>και τις οντότητες</w:t>
            </w:r>
            <w:r w:rsidR="008A3009" w:rsidRPr="00CD45F8">
              <w:rPr>
                <w:rFonts w:asciiTheme="majorHAnsi" w:hAnsiTheme="majorHAnsi"/>
                <w:lang w:val="el-GR"/>
              </w:rPr>
              <w:t xml:space="preserve"> με </w:t>
            </w:r>
            <w:r w:rsidR="00133EEA" w:rsidRPr="00CD45F8">
              <w:rPr>
                <w:rFonts w:asciiTheme="majorHAnsi" w:hAnsiTheme="majorHAnsi"/>
                <w:lang w:val="el-GR"/>
              </w:rPr>
              <w:t xml:space="preserve">διπλογραφικό σύστημα και </w:t>
            </w:r>
            <w:r w:rsidR="008A3009" w:rsidRPr="00CD45F8">
              <w:rPr>
                <w:rFonts w:asciiTheme="majorHAnsi" w:hAnsiTheme="majorHAnsi"/>
                <w:lang w:val="el-GR"/>
              </w:rPr>
              <w:t>ακαθάριστα έσοδά</w:t>
            </w:r>
            <w:r w:rsidR="00133EEA" w:rsidRPr="00CD45F8">
              <w:rPr>
                <w:rFonts w:asciiTheme="majorHAnsi" w:hAnsiTheme="majorHAnsi"/>
                <w:lang w:val="el-GR"/>
              </w:rPr>
              <w:t xml:space="preserve"> το </w:t>
            </w:r>
            <w:r w:rsidR="008A3009" w:rsidRPr="00CD45F8">
              <w:rPr>
                <w:rFonts w:asciiTheme="majorHAnsi" w:hAnsiTheme="majorHAnsi"/>
                <w:lang w:val="el-GR"/>
              </w:rPr>
              <w:t>2019 άνω των €</w:t>
            </w:r>
            <w:r w:rsidR="00133EEA" w:rsidRPr="00CD45F8">
              <w:rPr>
                <w:rFonts w:asciiTheme="majorHAnsi" w:hAnsiTheme="majorHAnsi"/>
                <w:lang w:val="el-GR"/>
              </w:rPr>
              <w:t>50.000</w:t>
            </w:r>
            <w:r w:rsidRPr="00CD45F8">
              <w:rPr>
                <w:rFonts w:asciiTheme="majorHAnsi" w:hAnsiTheme="majorHAnsi"/>
                <w:lang w:val="el-GR"/>
              </w:rPr>
              <w:t>, ή</w:t>
            </w:r>
          </w:p>
          <w:p w14:paraId="6590BE15" w14:textId="049A18F9" w:rsidR="00581F85" w:rsidRPr="00CD45F8" w:rsidRDefault="00E041A5" w:rsidP="00A20939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b/>
                <w:lang w:val="el-GR"/>
              </w:rPr>
              <w:t xml:space="preserve">β) </w:t>
            </w:r>
            <w:r w:rsidR="00A20939" w:rsidRPr="00CD45F8">
              <w:rPr>
                <w:rFonts w:asciiTheme="majorHAnsi" w:hAnsiTheme="majorHAnsi"/>
                <w:b/>
                <w:lang w:val="el-GR"/>
              </w:rPr>
              <w:t>01.01.2021 - 31.10.2021</w:t>
            </w:r>
            <w:r w:rsidR="00A20939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133EEA" w:rsidRPr="00CD45F8">
              <w:rPr>
                <w:rFonts w:asciiTheme="majorHAnsi" w:hAnsiTheme="majorHAnsi"/>
                <w:lang w:val="el-GR"/>
              </w:rPr>
              <w:t>για τις λοιπές οντότητες</w:t>
            </w:r>
          </w:p>
        </w:tc>
        <w:tc>
          <w:tcPr>
            <w:tcW w:w="3872" w:type="dxa"/>
          </w:tcPr>
          <w:p w14:paraId="5C61E844" w14:textId="77777777" w:rsidR="006541F9" w:rsidRDefault="006541F9" w:rsidP="00135FFF">
            <w:pPr>
              <w:rPr>
                <w:rFonts w:asciiTheme="majorHAnsi" w:hAnsiTheme="majorHAnsi"/>
                <w:lang w:val="el-GR"/>
              </w:rPr>
            </w:pPr>
          </w:p>
          <w:p w14:paraId="331851DE" w14:textId="77777777" w:rsidR="006541F9" w:rsidRDefault="006541F9" w:rsidP="00135FFF">
            <w:pPr>
              <w:rPr>
                <w:rFonts w:asciiTheme="majorHAnsi" w:hAnsiTheme="majorHAnsi"/>
                <w:lang w:val="el-GR"/>
              </w:rPr>
            </w:pPr>
          </w:p>
          <w:p w14:paraId="00283B91" w14:textId="77777777" w:rsidR="00212FD3" w:rsidRDefault="00212FD3" w:rsidP="00135FFF">
            <w:pPr>
              <w:rPr>
                <w:rFonts w:asciiTheme="majorHAnsi" w:hAnsiTheme="majorHAnsi"/>
                <w:lang w:val="el-GR"/>
              </w:rPr>
            </w:pPr>
          </w:p>
          <w:p w14:paraId="6C7B026A" w14:textId="77777777" w:rsidR="00212FD3" w:rsidRDefault="00212FD3" w:rsidP="00135FFF">
            <w:pPr>
              <w:rPr>
                <w:rFonts w:asciiTheme="majorHAnsi" w:hAnsiTheme="majorHAnsi"/>
                <w:lang w:val="el-GR"/>
              </w:rPr>
            </w:pPr>
          </w:p>
          <w:p w14:paraId="7CD91905" w14:textId="7AB075C1" w:rsidR="00581F85" w:rsidRPr="00CD45F8" w:rsidRDefault="00135FFF" w:rsidP="00135FFF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Διαβιβάζονται έ</w:t>
            </w:r>
            <w:r w:rsidR="00A20939" w:rsidRPr="00CD45F8">
              <w:rPr>
                <w:rFonts w:asciiTheme="majorHAnsi" w:hAnsiTheme="majorHAnsi"/>
                <w:lang w:val="el-GR"/>
              </w:rPr>
              <w:t>ως 31/3/202</w:t>
            </w:r>
            <w:r w:rsidR="003913F8">
              <w:rPr>
                <w:rFonts w:asciiTheme="majorHAnsi" w:hAnsiTheme="majorHAnsi"/>
                <w:lang w:val="el-GR"/>
              </w:rPr>
              <w:t>2</w:t>
            </w:r>
          </w:p>
        </w:tc>
      </w:tr>
      <w:tr w:rsidR="007550B8" w:rsidRPr="00CD45F8" w14:paraId="39F70B04" w14:textId="77777777" w:rsidTr="007550B8">
        <w:tc>
          <w:tcPr>
            <w:tcW w:w="4644" w:type="dxa"/>
          </w:tcPr>
          <w:p w14:paraId="6F9565A1" w14:textId="79344301" w:rsidR="00581F85" w:rsidRPr="00CD45F8" w:rsidRDefault="00314055" w:rsidP="005F3D9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 xml:space="preserve">Δεδομένα που αφορούν σε στοιχεία </w:t>
            </w:r>
            <w:r w:rsidRPr="00A060CF">
              <w:rPr>
                <w:rFonts w:asciiTheme="majorHAnsi" w:hAnsiTheme="majorHAnsi"/>
                <w:b/>
                <w:lang w:val="el-GR"/>
              </w:rPr>
              <w:t>που εκδόθηκαν κατά τις ανωτέρω</w:t>
            </w:r>
            <w:r w:rsidR="00D12779" w:rsidRPr="00A060CF">
              <w:rPr>
                <w:rFonts w:asciiTheme="majorHAnsi" w:hAnsiTheme="majorHAnsi"/>
                <w:b/>
                <w:lang w:val="el-GR"/>
              </w:rPr>
              <w:t xml:space="preserve"> χρονικές περιόδους</w:t>
            </w:r>
            <w:r w:rsidR="00D12779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Pr="00CD45F8">
              <w:rPr>
                <w:rFonts w:asciiTheme="majorHAnsi" w:hAnsiTheme="majorHAnsi"/>
                <w:lang w:val="el-GR"/>
              </w:rPr>
              <w:t>(</w:t>
            </w:r>
            <w:r w:rsidR="00092E3A" w:rsidRPr="00CD45F8">
              <w:rPr>
                <w:rFonts w:asciiTheme="majorHAnsi" w:hAnsiTheme="majorHAnsi"/>
                <w:lang w:val="el-GR"/>
              </w:rPr>
              <w:t>δηλ</w:t>
            </w:r>
            <w:r w:rsidR="001D64AF" w:rsidRPr="00CD45F8">
              <w:rPr>
                <w:rFonts w:asciiTheme="majorHAnsi" w:hAnsiTheme="majorHAnsi"/>
                <w:lang w:val="el-GR"/>
              </w:rPr>
              <w:t>αδή</w:t>
            </w:r>
            <w:r w:rsidR="00092E3A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1D64AF" w:rsidRPr="00CD45F8">
              <w:rPr>
                <w:rFonts w:asciiTheme="majorHAnsi" w:hAnsiTheme="majorHAnsi"/>
                <w:lang w:val="el-GR"/>
              </w:rPr>
              <w:t xml:space="preserve">από </w:t>
            </w:r>
            <w:r w:rsidR="001D64AF" w:rsidRPr="00A060CF">
              <w:rPr>
                <w:rFonts w:asciiTheme="majorHAnsi" w:hAnsiTheme="majorHAnsi"/>
                <w:b/>
                <w:lang w:val="el-GR"/>
              </w:rPr>
              <w:t xml:space="preserve">1.1.2021 </w:t>
            </w:r>
            <w:r w:rsidR="00092E3A" w:rsidRPr="00A060CF">
              <w:rPr>
                <w:rFonts w:asciiTheme="majorHAnsi" w:hAnsiTheme="majorHAnsi"/>
                <w:b/>
                <w:lang w:val="el-GR"/>
              </w:rPr>
              <w:t>έως 30.09.2021 και 31.10.2021 αντίστοιχα</w:t>
            </w:r>
            <w:r w:rsidR="00092E3A" w:rsidRPr="00CD45F8">
              <w:rPr>
                <w:rFonts w:asciiTheme="majorHAnsi" w:hAnsiTheme="majorHAnsi"/>
                <w:lang w:val="el-GR"/>
              </w:rPr>
              <w:t xml:space="preserve">) </w:t>
            </w:r>
            <w:r w:rsidRPr="00A060CF">
              <w:rPr>
                <w:rFonts w:asciiTheme="majorHAnsi" w:hAnsiTheme="majorHAnsi"/>
                <w:b/>
                <w:lang w:val="el-GR"/>
              </w:rPr>
              <w:t>και</w:t>
            </w:r>
            <w:r w:rsidRPr="00CD45F8">
              <w:rPr>
                <w:rFonts w:asciiTheme="majorHAnsi" w:hAnsiTheme="majorHAnsi"/>
                <w:lang w:val="el-GR"/>
              </w:rPr>
              <w:t xml:space="preserve"> </w:t>
            </w:r>
            <w:r w:rsidRPr="00606772">
              <w:rPr>
                <w:rFonts w:asciiTheme="majorHAnsi" w:hAnsiTheme="majorHAnsi"/>
                <w:b/>
                <w:lang w:val="el-GR"/>
              </w:rPr>
              <w:t>δεν διαβιβάστηκαν από τον εκδότη τους</w:t>
            </w:r>
          </w:p>
        </w:tc>
        <w:tc>
          <w:tcPr>
            <w:tcW w:w="3872" w:type="dxa"/>
          </w:tcPr>
          <w:p w14:paraId="79DD9D12" w14:textId="423D69AA" w:rsidR="008F0BEB" w:rsidRPr="00CD45F8" w:rsidRDefault="00092E3A" w:rsidP="00FD56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el-GR"/>
              </w:rPr>
            </w:pPr>
            <w:r w:rsidRPr="003244B2">
              <w:rPr>
                <w:rFonts w:asciiTheme="majorHAnsi" w:hAnsiTheme="majorHAnsi"/>
                <w:b/>
                <w:lang w:val="el-GR"/>
              </w:rPr>
              <w:t>Δύνανται</w:t>
            </w:r>
            <w:r w:rsidRPr="00CD45F8">
              <w:rPr>
                <w:rFonts w:asciiTheme="majorHAnsi" w:hAnsiTheme="majorHAnsi"/>
                <w:lang w:val="el-GR"/>
              </w:rPr>
              <w:t xml:space="preserve"> να </w:t>
            </w:r>
            <w:r w:rsidR="00D12779" w:rsidRPr="00CD45F8">
              <w:rPr>
                <w:rFonts w:asciiTheme="majorHAnsi" w:hAnsiTheme="majorHAnsi"/>
                <w:lang w:val="el-GR"/>
              </w:rPr>
              <w:t>διαβιβάζονται από το</w:t>
            </w:r>
            <w:r w:rsidR="006541F9">
              <w:rPr>
                <w:rFonts w:asciiTheme="majorHAnsi" w:hAnsiTheme="majorHAnsi"/>
                <w:lang w:val="el-GR"/>
              </w:rPr>
              <w:t>ν</w:t>
            </w:r>
            <w:r w:rsidR="00D12779" w:rsidRPr="00CD45F8">
              <w:rPr>
                <w:rFonts w:asciiTheme="majorHAnsi" w:hAnsiTheme="majorHAnsi"/>
                <w:lang w:val="el-GR"/>
              </w:rPr>
              <w:t xml:space="preserve"> λήπτη από την 01.04.2022 έως 30.04.2022</w:t>
            </w:r>
            <w:r w:rsidR="00820CB9" w:rsidRPr="00CD45F8">
              <w:rPr>
                <w:rFonts w:asciiTheme="majorHAnsi" w:hAnsiTheme="majorHAnsi"/>
                <w:lang w:val="el-GR"/>
              </w:rPr>
              <w:t xml:space="preserve">. </w:t>
            </w:r>
          </w:p>
          <w:p w14:paraId="5168BBBC" w14:textId="490B6A6F" w:rsidR="00581F85" w:rsidRPr="00CD45F8" w:rsidRDefault="00FD56C3" w:rsidP="00FD56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Εν συνεχεία</w:t>
            </w:r>
            <w:r w:rsidR="006541F9">
              <w:rPr>
                <w:rFonts w:asciiTheme="majorHAnsi" w:hAnsiTheme="majorHAnsi"/>
                <w:lang w:val="el-GR"/>
              </w:rPr>
              <w:t>,</w:t>
            </w:r>
            <w:r w:rsidRPr="00CD45F8">
              <w:rPr>
                <w:rFonts w:asciiTheme="majorHAnsi" w:hAnsiTheme="majorHAnsi"/>
                <w:lang w:val="el-GR"/>
              </w:rPr>
              <w:t xml:space="preserve"> ο εκδότης δύναται να αποδεχθεί και να χαρακτηρίσει τις εν λόγω συναλλαγές έως 31.5.2022. </w:t>
            </w:r>
          </w:p>
        </w:tc>
      </w:tr>
      <w:tr w:rsidR="007550B8" w:rsidRPr="00CD45F8" w14:paraId="5A67D87E" w14:textId="77777777" w:rsidTr="007550B8">
        <w:tc>
          <w:tcPr>
            <w:tcW w:w="4644" w:type="dxa"/>
          </w:tcPr>
          <w:p w14:paraId="556E6B9F" w14:textId="4264C748" w:rsidR="00581F85" w:rsidRPr="00CD45F8" w:rsidRDefault="00014803" w:rsidP="000601F8">
            <w:pPr>
              <w:rPr>
                <w:rFonts w:asciiTheme="majorHAnsi" w:hAnsiTheme="majorHAnsi"/>
                <w:lang w:val="el-GR"/>
              </w:rPr>
            </w:pPr>
            <w:r w:rsidRPr="00606772">
              <w:rPr>
                <w:rFonts w:asciiTheme="majorHAnsi" w:hAnsiTheme="majorHAnsi"/>
                <w:b/>
                <w:lang w:val="el-GR"/>
              </w:rPr>
              <w:t>Δ</w:t>
            </w:r>
            <w:r w:rsidR="00650783" w:rsidRPr="00606772">
              <w:rPr>
                <w:rFonts w:asciiTheme="majorHAnsi" w:hAnsiTheme="majorHAnsi"/>
                <w:b/>
                <w:lang w:val="el-GR"/>
              </w:rPr>
              <w:t>εδομένα</w:t>
            </w:r>
            <w:r w:rsidRPr="00606772">
              <w:rPr>
                <w:rFonts w:asciiTheme="majorHAnsi" w:hAnsiTheme="majorHAnsi"/>
                <w:b/>
                <w:lang w:val="el-GR"/>
              </w:rPr>
              <w:t xml:space="preserve"> </w:t>
            </w:r>
            <w:r w:rsidR="004C771D" w:rsidRPr="00606772">
              <w:rPr>
                <w:rFonts w:asciiTheme="majorHAnsi" w:hAnsiTheme="majorHAnsi"/>
                <w:b/>
                <w:lang w:val="el-GR"/>
              </w:rPr>
              <w:t xml:space="preserve">σύνοψης &amp; </w:t>
            </w:r>
            <w:r w:rsidR="00650783" w:rsidRPr="00606772">
              <w:rPr>
                <w:rFonts w:asciiTheme="majorHAnsi" w:hAnsiTheme="majorHAnsi"/>
                <w:b/>
                <w:lang w:val="el-GR"/>
              </w:rPr>
              <w:t>χαρακτηρισμοί εξόδων τιμολόγησης</w:t>
            </w:r>
            <w:r w:rsidR="0015192D">
              <w:rPr>
                <w:rFonts w:asciiTheme="majorHAnsi" w:hAnsiTheme="majorHAnsi"/>
                <w:lang w:val="el-GR"/>
              </w:rPr>
              <w:t xml:space="preserve"> καθώς και</w:t>
            </w:r>
            <w:r w:rsidR="00650783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650783" w:rsidRPr="00606772">
              <w:rPr>
                <w:rFonts w:asciiTheme="majorHAnsi" w:hAnsiTheme="majorHAnsi"/>
                <w:b/>
                <w:lang w:val="el-GR"/>
              </w:rPr>
              <w:t xml:space="preserve">χαρακτηρισμοί εσόδων </w:t>
            </w:r>
            <w:proofErr w:type="spellStart"/>
            <w:r w:rsidR="00650783" w:rsidRPr="00606772">
              <w:rPr>
                <w:rFonts w:asciiTheme="majorHAnsi" w:hAnsiTheme="majorHAnsi"/>
                <w:b/>
                <w:lang w:val="el-GR"/>
              </w:rPr>
              <w:t>αυτοτιμολόγησης</w:t>
            </w:r>
            <w:proofErr w:type="spellEnd"/>
            <w:r w:rsidR="00650783" w:rsidRPr="00CD45F8">
              <w:rPr>
                <w:rFonts w:asciiTheme="majorHAnsi" w:hAnsiTheme="majorHAnsi"/>
                <w:lang w:val="el-GR"/>
              </w:rPr>
              <w:t xml:space="preserve"> που </w:t>
            </w:r>
            <w:r w:rsidR="0015192D">
              <w:rPr>
                <w:rFonts w:asciiTheme="majorHAnsi" w:hAnsiTheme="majorHAnsi"/>
                <w:lang w:val="el-GR"/>
              </w:rPr>
              <w:t>αφορούν σε λογιστικά στοιχεία</w:t>
            </w:r>
            <w:r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2D350C" w:rsidRPr="00CD45F8">
              <w:rPr>
                <w:rFonts w:asciiTheme="majorHAnsi" w:hAnsiTheme="majorHAnsi"/>
                <w:lang w:val="el-GR"/>
              </w:rPr>
              <w:t>που</w:t>
            </w:r>
            <w:r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6A2266" w:rsidRPr="00CD45F8">
              <w:rPr>
                <w:rFonts w:asciiTheme="majorHAnsi" w:hAnsiTheme="majorHAnsi"/>
                <w:lang w:val="el-GR"/>
              </w:rPr>
              <w:t>εκδόθηκαν</w:t>
            </w:r>
            <w:r w:rsidRPr="00CD45F8">
              <w:rPr>
                <w:rFonts w:asciiTheme="majorHAnsi" w:hAnsiTheme="majorHAnsi"/>
                <w:lang w:val="el-GR"/>
              </w:rPr>
              <w:t xml:space="preserve"> το χρονικό διάστημα</w:t>
            </w:r>
            <w:r w:rsidR="0028195B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Pr="00606772">
              <w:rPr>
                <w:rFonts w:asciiTheme="majorHAnsi" w:hAnsiTheme="majorHAnsi"/>
                <w:b/>
                <w:lang w:val="el-GR"/>
              </w:rPr>
              <w:t>01.01.2021 - 31.12.2021</w:t>
            </w:r>
            <w:r w:rsidR="002D350C" w:rsidRPr="00CD45F8">
              <w:rPr>
                <w:rFonts w:asciiTheme="majorHAnsi" w:hAnsiTheme="majorHAnsi"/>
                <w:lang w:val="el-GR"/>
              </w:rPr>
              <w:t xml:space="preserve"> καθώς</w:t>
            </w:r>
            <w:r w:rsidR="00092E3A" w:rsidRPr="00CD45F8">
              <w:rPr>
                <w:rFonts w:asciiTheme="majorHAnsi" w:hAnsiTheme="majorHAnsi"/>
                <w:lang w:val="el-GR"/>
              </w:rPr>
              <w:t xml:space="preserve"> και</w:t>
            </w:r>
            <w:r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A060CF">
              <w:rPr>
                <w:rFonts w:asciiTheme="majorHAnsi" w:hAnsiTheme="majorHAnsi"/>
                <w:lang w:val="el-GR"/>
              </w:rPr>
              <w:t xml:space="preserve">τα </w:t>
            </w:r>
            <w:r w:rsidRPr="007D40F0">
              <w:rPr>
                <w:rFonts w:asciiTheme="majorHAnsi" w:hAnsiTheme="majorHAnsi"/>
                <w:b/>
                <w:lang w:val="el-GR"/>
              </w:rPr>
              <w:t xml:space="preserve">δεδομένα </w:t>
            </w:r>
            <w:r w:rsidR="00650783" w:rsidRPr="007D40F0">
              <w:rPr>
                <w:rFonts w:asciiTheme="majorHAnsi" w:hAnsiTheme="majorHAnsi"/>
                <w:b/>
                <w:lang w:val="el-GR"/>
              </w:rPr>
              <w:t>των εξόδων</w:t>
            </w:r>
            <w:r w:rsidR="00650783" w:rsidRPr="00CD45F8">
              <w:rPr>
                <w:rFonts w:asciiTheme="majorHAnsi" w:hAnsiTheme="majorHAnsi"/>
                <w:lang w:val="el-GR"/>
              </w:rPr>
              <w:t xml:space="preserve"> που αναφέρονται υπό τα </w:t>
            </w:r>
            <w:r w:rsidR="00650783" w:rsidRPr="00606772">
              <w:rPr>
                <w:rFonts w:asciiTheme="majorHAnsi" w:hAnsiTheme="majorHAnsi"/>
                <w:b/>
                <w:lang w:val="el-GR"/>
              </w:rPr>
              <w:t xml:space="preserve">στοιχεία </w:t>
            </w:r>
            <w:proofErr w:type="spellStart"/>
            <w:r w:rsidR="00650783" w:rsidRPr="00606772">
              <w:rPr>
                <w:rFonts w:asciiTheme="majorHAnsi" w:hAnsiTheme="majorHAnsi"/>
                <w:b/>
              </w:rPr>
              <w:t>i</w:t>
            </w:r>
            <w:proofErr w:type="spellEnd"/>
            <w:r w:rsidR="00650783" w:rsidRPr="00606772">
              <w:rPr>
                <w:rFonts w:asciiTheme="majorHAnsi" w:hAnsiTheme="majorHAnsi"/>
                <w:b/>
              </w:rPr>
              <w:t>-vi</w:t>
            </w:r>
            <w:r w:rsidR="00CC4BB8">
              <w:rPr>
                <w:rFonts w:asciiTheme="majorHAnsi" w:hAnsiTheme="majorHAnsi"/>
              </w:rPr>
              <w:t>,</w:t>
            </w:r>
            <w:r w:rsidR="004376CE" w:rsidRPr="00CD45F8">
              <w:rPr>
                <w:rFonts w:asciiTheme="majorHAnsi" w:hAnsiTheme="majorHAnsi"/>
                <w:lang w:val="el-GR"/>
              </w:rPr>
              <w:t xml:space="preserve"> στον παραπάνω </w:t>
            </w:r>
            <w:r w:rsidR="000601F8">
              <w:rPr>
                <w:rFonts w:asciiTheme="majorHAnsi" w:hAnsiTheme="majorHAnsi"/>
                <w:lang w:val="el-GR"/>
              </w:rPr>
              <w:t>υπ</w:t>
            </w:r>
            <w:r w:rsidR="000601F8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0601F8">
              <w:rPr>
                <w:rFonts w:asciiTheme="majorHAnsi" w:hAnsiTheme="majorHAnsi"/>
                <w:lang w:val="el-GR"/>
              </w:rPr>
              <w:t xml:space="preserve">αριθμ. 2 </w:t>
            </w:r>
            <w:r w:rsidR="004376CE" w:rsidRPr="00CD45F8">
              <w:rPr>
                <w:rFonts w:asciiTheme="majorHAnsi" w:hAnsiTheme="majorHAnsi"/>
                <w:lang w:val="el-GR"/>
              </w:rPr>
              <w:t>πίνακα</w:t>
            </w:r>
            <w:r w:rsidR="00CC4BB8">
              <w:rPr>
                <w:rFonts w:asciiTheme="majorHAnsi" w:hAnsiTheme="majorHAnsi"/>
                <w:lang w:val="el-GR"/>
              </w:rPr>
              <w:t>,</w:t>
            </w:r>
            <w:r w:rsidR="004376CE" w:rsidRPr="00CD45F8">
              <w:rPr>
                <w:rFonts w:asciiTheme="majorHAnsi" w:hAnsiTheme="majorHAnsi"/>
                <w:lang w:val="el-GR"/>
              </w:rPr>
              <w:t xml:space="preserve"> </w:t>
            </w:r>
            <w:r w:rsidR="000601F8">
              <w:rPr>
                <w:rFonts w:asciiTheme="majorHAnsi" w:hAnsiTheme="majorHAnsi"/>
                <w:lang w:val="el-GR"/>
              </w:rPr>
              <w:t>με</w:t>
            </w:r>
            <w:r w:rsidR="005C218D">
              <w:rPr>
                <w:rFonts w:asciiTheme="majorHAnsi" w:hAnsiTheme="majorHAnsi"/>
                <w:lang w:val="el-GR"/>
              </w:rPr>
              <w:t xml:space="preserve"> </w:t>
            </w:r>
            <w:r w:rsidR="002C0B0D" w:rsidRPr="00CD45F8">
              <w:rPr>
                <w:rFonts w:asciiTheme="majorHAnsi" w:hAnsiTheme="majorHAnsi"/>
                <w:lang w:val="el-GR"/>
              </w:rPr>
              <w:t>τίτλο</w:t>
            </w:r>
            <w:r w:rsidR="005F3EBF">
              <w:rPr>
                <w:rFonts w:asciiTheme="majorHAnsi" w:hAnsiTheme="majorHAnsi"/>
                <w:lang w:val="el-GR"/>
              </w:rPr>
              <w:t>:</w:t>
            </w:r>
            <w:r w:rsidR="004376CE" w:rsidRPr="00CD45F8">
              <w:rPr>
                <w:rFonts w:asciiTheme="majorHAnsi" w:hAnsiTheme="majorHAnsi"/>
                <w:lang w:val="el-GR"/>
              </w:rPr>
              <w:t xml:space="preserve"> «</w:t>
            </w:r>
            <w:r w:rsidR="00B61807" w:rsidRPr="00CD45F8">
              <w:rPr>
                <w:rFonts w:asciiTheme="majorHAnsi" w:hAnsiTheme="majorHAnsi"/>
                <w:lang w:val="el-GR"/>
              </w:rPr>
              <w:t>Δεδομένα</w:t>
            </w:r>
            <w:r w:rsidR="00650783" w:rsidRPr="00CD45F8">
              <w:rPr>
                <w:rFonts w:asciiTheme="majorHAnsi" w:hAnsiTheme="majorHAnsi"/>
                <w:lang w:val="el-GR"/>
              </w:rPr>
              <w:t xml:space="preserve"> εξόδων</w:t>
            </w:r>
            <w:r w:rsidR="004376CE" w:rsidRPr="00CD45F8">
              <w:rPr>
                <w:rFonts w:asciiTheme="majorHAnsi" w:hAnsiTheme="majorHAnsi"/>
                <w:lang w:val="el-GR"/>
              </w:rPr>
              <w:t>»</w:t>
            </w:r>
            <w:r w:rsidR="006A5BE6">
              <w:rPr>
                <w:rFonts w:asciiTheme="majorHAnsi" w:hAnsiTheme="majorHAnsi"/>
                <w:lang w:val="el-GR"/>
              </w:rPr>
              <w:t xml:space="preserve"> </w:t>
            </w:r>
          </w:p>
        </w:tc>
        <w:tc>
          <w:tcPr>
            <w:tcW w:w="3872" w:type="dxa"/>
          </w:tcPr>
          <w:p w14:paraId="55FF0FB2" w14:textId="77777777" w:rsidR="006541F9" w:rsidRDefault="006541F9" w:rsidP="00135FFF">
            <w:pPr>
              <w:rPr>
                <w:rFonts w:asciiTheme="majorHAnsi" w:hAnsiTheme="majorHAnsi"/>
                <w:lang w:val="el-GR"/>
              </w:rPr>
            </w:pPr>
          </w:p>
          <w:p w14:paraId="350A04AB" w14:textId="77777777" w:rsidR="006541F9" w:rsidRDefault="006541F9" w:rsidP="00135FFF">
            <w:pPr>
              <w:rPr>
                <w:rFonts w:asciiTheme="majorHAnsi" w:hAnsiTheme="majorHAnsi"/>
                <w:lang w:val="el-GR"/>
              </w:rPr>
            </w:pPr>
          </w:p>
          <w:p w14:paraId="461891FF" w14:textId="77777777" w:rsidR="00212FD3" w:rsidRDefault="00212FD3" w:rsidP="00135FFF">
            <w:pPr>
              <w:rPr>
                <w:rFonts w:asciiTheme="majorHAnsi" w:hAnsiTheme="majorHAnsi"/>
                <w:b/>
                <w:lang w:val="el-GR"/>
              </w:rPr>
            </w:pPr>
          </w:p>
          <w:p w14:paraId="0823A46F" w14:textId="08F98D77" w:rsidR="00581F85" w:rsidRPr="00CD45F8" w:rsidRDefault="00014803" w:rsidP="00135FFF">
            <w:pPr>
              <w:rPr>
                <w:rFonts w:asciiTheme="majorHAnsi" w:hAnsiTheme="majorHAnsi"/>
                <w:lang w:val="el-GR"/>
              </w:rPr>
            </w:pPr>
            <w:r w:rsidRPr="003244B2">
              <w:rPr>
                <w:rFonts w:asciiTheme="majorHAnsi" w:hAnsiTheme="majorHAnsi"/>
                <w:b/>
                <w:lang w:val="el-GR"/>
              </w:rPr>
              <w:t>Δύνα</w:t>
            </w:r>
            <w:r w:rsidR="00092E3A" w:rsidRPr="003244B2">
              <w:rPr>
                <w:rFonts w:asciiTheme="majorHAnsi" w:hAnsiTheme="majorHAnsi"/>
                <w:b/>
                <w:lang w:val="el-GR"/>
              </w:rPr>
              <w:t>ν</w:t>
            </w:r>
            <w:r w:rsidRPr="003244B2">
              <w:rPr>
                <w:rFonts w:asciiTheme="majorHAnsi" w:hAnsiTheme="majorHAnsi"/>
                <w:b/>
                <w:lang w:val="el-GR"/>
              </w:rPr>
              <w:t xml:space="preserve">ται </w:t>
            </w:r>
            <w:r w:rsidRPr="00CD45F8">
              <w:rPr>
                <w:rFonts w:asciiTheme="majorHAnsi" w:hAnsiTheme="majorHAnsi"/>
                <w:lang w:val="el-GR"/>
              </w:rPr>
              <w:t>να διαβιβάζονται έως την 31/5/2022</w:t>
            </w:r>
          </w:p>
        </w:tc>
      </w:tr>
      <w:tr w:rsidR="007550B8" w:rsidRPr="00CD45F8" w14:paraId="6DEB2CDD" w14:textId="77777777" w:rsidTr="007550B8">
        <w:tc>
          <w:tcPr>
            <w:tcW w:w="4644" w:type="dxa"/>
          </w:tcPr>
          <w:p w14:paraId="4542E8D2" w14:textId="7CCD18F6" w:rsidR="002D350C" w:rsidRPr="00CD45F8" w:rsidRDefault="008F0BEB" w:rsidP="00705E23">
            <w:pPr>
              <w:rPr>
                <w:rFonts w:asciiTheme="majorHAnsi" w:hAnsiTheme="majorHAnsi"/>
                <w:lang w:val="el-GR"/>
              </w:rPr>
            </w:pPr>
            <w:r w:rsidRPr="00606772">
              <w:rPr>
                <w:rFonts w:asciiTheme="majorHAnsi" w:hAnsiTheme="majorHAnsi"/>
                <w:b/>
                <w:lang w:val="el-GR"/>
              </w:rPr>
              <w:t>Υποχρεωτικά οι εγγραφές τακτοποίησης εσόδων</w:t>
            </w:r>
            <w:r w:rsidRPr="00CD45F8">
              <w:rPr>
                <w:rFonts w:asciiTheme="majorHAnsi" w:hAnsiTheme="majorHAnsi"/>
                <w:lang w:val="el-GR"/>
              </w:rPr>
              <w:t xml:space="preserve"> και </w:t>
            </w:r>
            <w:r w:rsidRPr="003244B2">
              <w:rPr>
                <w:rFonts w:asciiTheme="majorHAnsi" w:hAnsiTheme="majorHAnsi"/>
                <w:b/>
                <w:lang w:val="el-GR"/>
              </w:rPr>
              <w:t>προαιρετικά</w:t>
            </w:r>
            <w:r w:rsidRPr="00CD45F8">
              <w:rPr>
                <w:rFonts w:asciiTheme="majorHAnsi" w:hAnsiTheme="majorHAnsi"/>
                <w:lang w:val="el-GR"/>
              </w:rPr>
              <w:t xml:space="preserve"> οι εγγραφές τακτοποίησης εξόδων</w:t>
            </w:r>
          </w:p>
        </w:tc>
        <w:tc>
          <w:tcPr>
            <w:tcW w:w="3872" w:type="dxa"/>
          </w:tcPr>
          <w:p w14:paraId="32EA9F39" w14:textId="5DAEFD64" w:rsidR="002D350C" w:rsidRPr="00CD45F8" w:rsidRDefault="008F0BEB" w:rsidP="008F0BEB">
            <w:pPr>
              <w:rPr>
                <w:rFonts w:asciiTheme="majorHAnsi" w:hAnsiTheme="majorHAnsi"/>
                <w:lang w:val="el-GR"/>
              </w:rPr>
            </w:pPr>
            <w:r w:rsidRPr="00CD45F8">
              <w:rPr>
                <w:rFonts w:asciiTheme="majorHAnsi" w:hAnsiTheme="majorHAnsi"/>
                <w:lang w:val="el-GR"/>
              </w:rPr>
              <w:t>Έως την ημερομηνία υποβολή της δήλωσης φορολογίας εισοδήματος &amp; όχι αργότερα από την καταληκτική ημερομηνία αυτής.</w:t>
            </w:r>
          </w:p>
        </w:tc>
      </w:tr>
    </w:tbl>
    <w:p w14:paraId="7CC3EDA2" w14:textId="77777777" w:rsidR="00A20939" w:rsidRPr="00CD45F8" w:rsidRDefault="00A20939" w:rsidP="005C6987">
      <w:pPr>
        <w:jc w:val="both"/>
        <w:rPr>
          <w:rFonts w:asciiTheme="majorHAnsi" w:hAnsiTheme="majorHAnsi"/>
          <w:lang w:val="el-GR"/>
        </w:rPr>
      </w:pPr>
    </w:p>
    <w:p w14:paraId="3B35CA08" w14:textId="3C610251" w:rsidR="005E6B9A" w:rsidRDefault="00DA6FBB" w:rsidP="005C6987">
      <w:pPr>
        <w:jc w:val="both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Επισημαίνεται</w:t>
      </w:r>
      <w:r w:rsidR="005E6B9A">
        <w:rPr>
          <w:rFonts w:asciiTheme="majorHAnsi" w:hAnsiTheme="majorHAnsi"/>
          <w:lang w:val="el-GR"/>
        </w:rPr>
        <w:t xml:space="preserve"> ότι οι ανωτέρω πίνακες περιλαμβάνουν συνοπτικές πληροφορίες και θα πρέπει να διαβάζονται συνδυαστικά με την οικεία </w:t>
      </w:r>
      <w:r w:rsidR="003C21DD">
        <w:rPr>
          <w:rFonts w:asciiTheme="majorHAnsi" w:hAnsiTheme="majorHAnsi"/>
          <w:lang w:val="el-GR"/>
        </w:rPr>
        <w:t xml:space="preserve">ισχύουσα </w:t>
      </w:r>
      <w:r w:rsidR="005E6B9A">
        <w:rPr>
          <w:rFonts w:asciiTheme="majorHAnsi" w:hAnsiTheme="majorHAnsi"/>
          <w:lang w:val="el-GR"/>
        </w:rPr>
        <w:t xml:space="preserve">νομοθεσία.   </w:t>
      </w:r>
    </w:p>
    <w:p w14:paraId="11A628A8" w14:textId="6808CB70" w:rsidR="005067C6" w:rsidRDefault="0094740F" w:rsidP="005C6987">
      <w:pPr>
        <w:jc w:val="both"/>
        <w:rPr>
          <w:rFonts w:asciiTheme="majorHAnsi" w:hAnsiTheme="majorHAnsi"/>
        </w:rPr>
      </w:pPr>
      <w:r w:rsidRPr="00CD45F8">
        <w:rPr>
          <w:rFonts w:asciiTheme="majorHAnsi" w:hAnsiTheme="majorHAnsi"/>
          <w:lang w:val="el-GR"/>
        </w:rPr>
        <w:t>Α</w:t>
      </w:r>
      <w:r w:rsidR="005D320D" w:rsidRPr="00CD45F8">
        <w:rPr>
          <w:rFonts w:asciiTheme="majorHAnsi" w:hAnsiTheme="majorHAnsi"/>
          <w:lang w:val="el-GR"/>
        </w:rPr>
        <w:t>ναλυτικότερες</w:t>
      </w:r>
      <w:r w:rsidR="0027094D" w:rsidRPr="00CD45F8">
        <w:rPr>
          <w:rFonts w:asciiTheme="majorHAnsi" w:hAnsiTheme="majorHAnsi"/>
          <w:lang w:val="el-GR"/>
        </w:rPr>
        <w:t xml:space="preserve"> πληροφορίες </w:t>
      </w:r>
      <w:r w:rsidR="00507DA5" w:rsidRPr="00CD45F8">
        <w:rPr>
          <w:rFonts w:asciiTheme="majorHAnsi" w:hAnsiTheme="majorHAnsi"/>
          <w:lang w:val="el-GR"/>
        </w:rPr>
        <w:t xml:space="preserve">σχετικά με τα παραπάνω μπορείτε να </w:t>
      </w:r>
      <w:r w:rsidRPr="00CD45F8">
        <w:rPr>
          <w:rFonts w:asciiTheme="majorHAnsi" w:hAnsiTheme="majorHAnsi"/>
          <w:lang w:val="el-GR"/>
        </w:rPr>
        <w:t xml:space="preserve">βρείτε </w:t>
      </w:r>
      <w:r w:rsidR="00507DA5" w:rsidRPr="00CD45F8">
        <w:rPr>
          <w:rFonts w:asciiTheme="majorHAnsi" w:hAnsiTheme="majorHAnsi"/>
          <w:lang w:val="el-GR"/>
        </w:rPr>
        <w:t>στην από 21/10/2021 ανακοί</w:t>
      </w:r>
      <w:r w:rsidR="00E61384" w:rsidRPr="00CD45F8">
        <w:rPr>
          <w:rFonts w:asciiTheme="majorHAnsi" w:hAnsiTheme="majorHAnsi"/>
          <w:lang w:val="el-GR"/>
        </w:rPr>
        <w:t>νωση του Συλλόγου και στον συνημμένο σε αυτήν</w:t>
      </w:r>
      <w:r w:rsidR="00507DA5" w:rsidRPr="00CD45F8">
        <w:rPr>
          <w:rFonts w:asciiTheme="majorHAnsi" w:hAnsiTheme="majorHAnsi"/>
          <w:lang w:val="el-GR"/>
        </w:rPr>
        <w:t xml:space="preserve"> πρακτικό οδηγό </w:t>
      </w:r>
      <w:r w:rsidR="00FE6297" w:rsidRPr="00CD45F8">
        <w:rPr>
          <w:rFonts w:asciiTheme="majorHAnsi" w:hAnsiTheme="majorHAnsi"/>
          <w:lang w:val="el-GR"/>
        </w:rPr>
        <w:t>που συντάχθηκε κατόπιν πρωτοβουλίας της Ολομέλεια</w:t>
      </w:r>
      <w:r w:rsidR="0015192D">
        <w:rPr>
          <w:rFonts w:asciiTheme="majorHAnsi" w:hAnsiTheme="majorHAnsi"/>
          <w:lang w:val="el-GR"/>
        </w:rPr>
        <w:t>ς</w:t>
      </w:r>
      <w:r w:rsidR="00FE6297" w:rsidRPr="00CD45F8">
        <w:rPr>
          <w:rFonts w:asciiTheme="majorHAnsi" w:hAnsiTheme="majorHAnsi"/>
          <w:lang w:val="el-GR"/>
        </w:rPr>
        <w:t xml:space="preserve"> των Προέδρων Δικηγορικών Συλλόγων Ελλάδος </w:t>
      </w:r>
      <w:r w:rsidR="00E61384" w:rsidRPr="00CD45F8">
        <w:rPr>
          <w:rFonts w:asciiTheme="majorHAnsi" w:hAnsiTheme="majorHAnsi"/>
          <w:lang w:val="el-GR"/>
        </w:rPr>
        <w:t>καθώς και</w:t>
      </w:r>
      <w:r w:rsidR="00507DA5" w:rsidRPr="00CD45F8">
        <w:rPr>
          <w:rFonts w:asciiTheme="majorHAnsi" w:hAnsiTheme="majorHAnsi"/>
          <w:lang w:val="el-GR"/>
        </w:rPr>
        <w:t xml:space="preserve"> στην σχετική Απόφαση </w:t>
      </w:r>
      <w:proofErr w:type="spellStart"/>
      <w:r w:rsidR="00C45C6C" w:rsidRPr="00CD45F8">
        <w:rPr>
          <w:rFonts w:asciiTheme="majorHAnsi" w:hAnsiTheme="majorHAnsi" w:cs="ÄË–·˛"/>
          <w:lang w:val="el-GR"/>
        </w:rPr>
        <w:t>Α.1138</w:t>
      </w:r>
      <w:proofErr w:type="spellEnd"/>
      <w:r w:rsidR="00C45C6C" w:rsidRPr="00CD45F8">
        <w:rPr>
          <w:rFonts w:asciiTheme="majorHAnsi" w:hAnsiTheme="majorHAnsi" w:cs="ÄË–·˛"/>
          <w:lang w:val="el-GR"/>
        </w:rPr>
        <w:t>/2020</w:t>
      </w:r>
      <w:r w:rsidR="00507DA5" w:rsidRPr="00CD45F8">
        <w:rPr>
          <w:rFonts w:asciiTheme="majorHAnsi" w:hAnsiTheme="majorHAnsi"/>
          <w:lang w:val="el-GR"/>
        </w:rPr>
        <w:t xml:space="preserve"> του Διοικητή της </w:t>
      </w:r>
      <w:proofErr w:type="spellStart"/>
      <w:r w:rsidR="00507DA5" w:rsidRPr="00CD45F8">
        <w:rPr>
          <w:rFonts w:asciiTheme="majorHAnsi" w:hAnsiTheme="majorHAnsi"/>
          <w:lang w:val="el-GR"/>
        </w:rPr>
        <w:t>ΑΑΔΕ</w:t>
      </w:r>
      <w:proofErr w:type="spellEnd"/>
      <w:r w:rsidR="00E61384" w:rsidRPr="00CD45F8">
        <w:rPr>
          <w:rFonts w:asciiTheme="majorHAnsi" w:hAnsiTheme="majorHAnsi"/>
          <w:lang w:val="el-GR"/>
        </w:rPr>
        <w:t>,</w:t>
      </w:r>
      <w:r w:rsidR="00507DA5" w:rsidRPr="00CD45F8">
        <w:rPr>
          <w:rFonts w:asciiTheme="majorHAnsi" w:hAnsiTheme="majorHAnsi"/>
          <w:lang w:val="el-GR"/>
        </w:rPr>
        <w:t xml:space="preserve"> όπως </w:t>
      </w:r>
      <w:r w:rsidR="004D61A4" w:rsidRPr="00CD45F8">
        <w:rPr>
          <w:rFonts w:asciiTheme="majorHAnsi" w:hAnsiTheme="majorHAnsi"/>
          <w:lang w:val="el-GR"/>
        </w:rPr>
        <w:t xml:space="preserve">αυτή </w:t>
      </w:r>
      <w:r w:rsidR="00507DA5" w:rsidRPr="00CD45F8">
        <w:rPr>
          <w:rFonts w:asciiTheme="majorHAnsi" w:hAnsiTheme="majorHAnsi"/>
          <w:lang w:val="el-GR"/>
        </w:rPr>
        <w:t>έχει τροποποιηθεί και ισχύει</w:t>
      </w:r>
      <w:r w:rsidR="004D61A4" w:rsidRPr="00CD45F8">
        <w:rPr>
          <w:rFonts w:asciiTheme="majorHAnsi" w:hAnsiTheme="majorHAnsi"/>
          <w:lang w:val="el-GR"/>
        </w:rPr>
        <w:t xml:space="preserve"> </w:t>
      </w:r>
      <w:r w:rsidR="00507DA5" w:rsidRPr="00CD45F8">
        <w:rPr>
          <w:rFonts w:asciiTheme="majorHAnsi" w:hAnsiTheme="majorHAnsi"/>
          <w:lang w:val="el-GR"/>
        </w:rPr>
        <w:t>μετά από τις</w:t>
      </w:r>
      <w:r w:rsidR="004D61A4" w:rsidRPr="00CD45F8">
        <w:rPr>
          <w:rFonts w:asciiTheme="majorHAnsi" w:hAnsiTheme="majorHAnsi"/>
          <w:lang w:val="el-GR"/>
        </w:rPr>
        <w:t xml:space="preserve"> αποφάσεις</w:t>
      </w:r>
      <w:r w:rsidR="00507DA5" w:rsidRPr="00CD45F8">
        <w:rPr>
          <w:rFonts w:asciiTheme="majorHAnsi" w:hAnsiTheme="majorHAnsi"/>
          <w:lang w:val="el-GR"/>
        </w:rPr>
        <w:t xml:space="preserve"> </w:t>
      </w:r>
      <w:proofErr w:type="spellStart"/>
      <w:r w:rsidR="00C81AD7" w:rsidRPr="00CD45F8">
        <w:rPr>
          <w:rFonts w:asciiTheme="majorHAnsi" w:hAnsiTheme="majorHAnsi"/>
        </w:rPr>
        <w:t>Α.1227</w:t>
      </w:r>
      <w:proofErr w:type="spellEnd"/>
      <w:r w:rsidR="00C81AD7" w:rsidRPr="00CD45F8">
        <w:rPr>
          <w:rFonts w:asciiTheme="majorHAnsi" w:hAnsiTheme="majorHAnsi"/>
        </w:rPr>
        <w:t xml:space="preserve">/2020, </w:t>
      </w:r>
      <w:proofErr w:type="spellStart"/>
      <w:r w:rsidR="00C81AD7" w:rsidRPr="00CD45F8">
        <w:rPr>
          <w:rFonts w:asciiTheme="majorHAnsi" w:hAnsiTheme="majorHAnsi"/>
        </w:rPr>
        <w:t>Α.1300</w:t>
      </w:r>
      <w:proofErr w:type="spellEnd"/>
      <w:r w:rsidR="00C81AD7" w:rsidRPr="00CD45F8">
        <w:rPr>
          <w:rFonts w:asciiTheme="majorHAnsi" w:hAnsiTheme="majorHAnsi"/>
        </w:rPr>
        <w:t xml:space="preserve">/2020, </w:t>
      </w:r>
      <w:proofErr w:type="spellStart"/>
      <w:r w:rsidR="00C81AD7" w:rsidRPr="00CD45F8">
        <w:rPr>
          <w:rFonts w:asciiTheme="majorHAnsi" w:hAnsiTheme="majorHAnsi"/>
        </w:rPr>
        <w:t>Α.1054</w:t>
      </w:r>
      <w:proofErr w:type="spellEnd"/>
      <w:r w:rsidR="00C81AD7" w:rsidRPr="00CD45F8">
        <w:rPr>
          <w:rFonts w:asciiTheme="majorHAnsi" w:hAnsiTheme="majorHAnsi"/>
        </w:rPr>
        <w:t xml:space="preserve">/2021 και </w:t>
      </w:r>
      <w:proofErr w:type="spellStart"/>
      <w:r w:rsidR="00C81AD7" w:rsidRPr="00CD45F8">
        <w:rPr>
          <w:rFonts w:asciiTheme="majorHAnsi" w:hAnsiTheme="majorHAnsi"/>
        </w:rPr>
        <w:t>Α.1156</w:t>
      </w:r>
      <w:proofErr w:type="spellEnd"/>
      <w:r w:rsidR="00C81AD7" w:rsidRPr="00CD45F8">
        <w:rPr>
          <w:rFonts w:asciiTheme="majorHAnsi" w:hAnsiTheme="majorHAnsi"/>
        </w:rPr>
        <w:t xml:space="preserve">/2021 </w:t>
      </w:r>
      <w:proofErr w:type="spellStart"/>
      <w:r w:rsidR="00C81AD7" w:rsidRPr="00CD45F8">
        <w:rPr>
          <w:rFonts w:asciiTheme="majorHAnsi" w:hAnsiTheme="majorHAnsi"/>
        </w:rPr>
        <w:t>του</w:t>
      </w:r>
      <w:proofErr w:type="spellEnd"/>
      <w:r w:rsidR="00C81AD7" w:rsidRPr="00CD45F8">
        <w:rPr>
          <w:rFonts w:asciiTheme="majorHAnsi" w:hAnsiTheme="majorHAnsi"/>
        </w:rPr>
        <w:t xml:space="preserve"> </w:t>
      </w:r>
      <w:proofErr w:type="spellStart"/>
      <w:r w:rsidR="00C81AD7" w:rsidRPr="00CD45F8">
        <w:rPr>
          <w:rFonts w:asciiTheme="majorHAnsi" w:hAnsiTheme="majorHAnsi"/>
        </w:rPr>
        <w:t>Διοικητή</w:t>
      </w:r>
      <w:proofErr w:type="spellEnd"/>
      <w:r w:rsidR="00C81AD7" w:rsidRPr="00CD45F8">
        <w:rPr>
          <w:rFonts w:asciiTheme="majorHAnsi" w:hAnsiTheme="majorHAnsi"/>
        </w:rPr>
        <w:t xml:space="preserve"> </w:t>
      </w:r>
      <w:proofErr w:type="spellStart"/>
      <w:r w:rsidR="00C81AD7" w:rsidRPr="00CD45F8">
        <w:rPr>
          <w:rFonts w:asciiTheme="majorHAnsi" w:hAnsiTheme="majorHAnsi"/>
        </w:rPr>
        <w:t>της</w:t>
      </w:r>
      <w:proofErr w:type="spellEnd"/>
      <w:r w:rsidR="00C81AD7" w:rsidRPr="00CD45F8">
        <w:rPr>
          <w:rFonts w:asciiTheme="majorHAnsi" w:hAnsiTheme="majorHAnsi"/>
        </w:rPr>
        <w:t xml:space="preserve"> </w:t>
      </w:r>
      <w:proofErr w:type="spellStart"/>
      <w:r w:rsidR="00C81AD7" w:rsidRPr="00CD45F8">
        <w:rPr>
          <w:rFonts w:asciiTheme="majorHAnsi" w:hAnsiTheme="majorHAnsi"/>
        </w:rPr>
        <w:t>Α.Α.Δ.Ε</w:t>
      </w:r>
      <w:proofErr w:type="spellEnd"/>
      <w:r w:rsidR="00C81AD7" w:rsidRPr="00CD45F8">
        <w:rPr>
          <w:rFonts w:asciiTheme="majorHAnsi" w:hAnsiTheme="majorHAnsi"/>
        </w:rPr>
        <w:t>.</w:t>
      </w:r>
    </w:p>
    <w:p w14:paraId="15FDB875" w14:textId="77777777" w:rsidR="009A697C" w:rsidRDefault="009A697C" w:rsidP="005C6987">
      <w:pPr>
        <w:jc w:val="both"/>
        <w:rPr>
          <w:rFonts w:asciiTheme="majorHAnsi" w:hAnsiTheme="majorHAnsi"/>
        </w:rPr>
      </w:pPr>
    </w:p>
    <w:p w14:paraId="419A2297" w14:textId="1190FBF1" w:rsidR="009A697C" w:rsidRDefault="009A697C" w:rsidP="009A697C">
      <w:pPr>
        <w:pBdr>
          <w:bottom w:val="single" w:sz="4" w:space="1" w:color="auto"/>
        </w:pBdr>
        <w:jc w:val="both"/>
        <w:rPr>
          <w:rFonts w:asciiTheme="majorHAnsi" w:hAnsiTheme="majorHAnsi"/>
        </w:rPr>
      </w:pPr>
    </w:p>
    <w:p w14:paraId="58CBDB8A" w14:textId="77777777" w:rsidR="009A697C" w:rsidRPr="009A697C" w:rsidRDefault="009A697C" w:rsidP="009A697C">
      <w:pPr>
        <w:rPr>
          <w:rFonts w:asciiTheme="majorHAnsi" w:hAnsiTheme="majorHAnsi"/>
        </w:rPr>
      </w:pPr>
    </w:p>
    <w:p w14:paraId="021E19F5" w14:textId="1FB230E6" w:rsidR="009A697C" w:rsidRPr="009A697C" w:rsidRDefault="009A697C" w:rsidP="009A697C">
      <w:pPr>
        <w:rPr>
          <w:rFonts w:asciiTheme="majorHAnsi" w:hAnsiTheme="majorHAnsi"/>
          <w:lang w:val="el-GR"/>
        </w:rPr>
      </w:pPr>
    </w:p>
    <w:p w14:paraId="120AB363" w14:textId="381BB0EA" w:rsidR="009A697C" w:rsidRPr="009A697C" w:rsidRDefault="009A697C" w:rsidP="009A697C">
      <w:pPr>
        <w:tabs>
          <w:tab w:val="left" w:pos="960"/>
        </w:tabs>
        <w:jc w:val="both"/>
        <w:rPr>
          <w:rFonts w:asciiTheme="majorHAnsi" w:hAnsiTheme="majorHAnsi"/>
          <w:i/>
          <w:lang w:val="el-GR"/>
        </w:rPr>
      </w:pPr>
      <w:r w:rsidRPr="009A697C">
        <w:rPr>
          <w:rFonts w:asciiTheme="majorHAnsi" w:hAnsiTheme="majorHAnsi"/>
          <w:i/>
          <w:lang w:val="el-GR"/>
        </w:rPr>
        <w:t xml:space="preserve">Ο Δικηγορικός Σύλλογος Πειραιά εκφράζει τις ευχαριστίες του στους συναδέλφους </w:t>
      </w:r>
      <w:r w:rsidRPr="009A697C">
        <w:rPr>
          <w:rFonts w:asciiTheme="majorHAnsi" w:hAnsiTheme="majorHAnsi"/>
          <w:b/>
          <w:i/>
          <w:lang w:val="el-GR"/>
        </w:rPr>
        <w:t xml:space="preserve">Γιάννη </w:t>
      </w:r>
      <w:proofErr w:type="spellStart"/>
      <w:r w:rsidRPr="009A697C">
        <w:rPr>
          <w:rFonts w:asciiTheme="majorHAnsi" w:hAnsiTheme="majorHAnsi"/>
          <w:b/>
          <w:i/>
          <w:lang w:val="el-GR"/>
        </w:rPr>
        <w:t>Σαράντου</w:t>
      </w:r>
      <w:proofErr w:type="spellEnd"/>
      <w:r w:rsidRPr="009A697C">
        <w:rPr>
          <w:rFonts w:asciiTheme="majorHAnsi" w:hAnsiTheme="majorHAnsi"/>
          <w:b/>
          <w:i/>
          <w:lang w:val="el-GR"/>
        </w:rPr>
        <w:t xml:space="preserve">, Γεωργία </w:t>
      </w:r>
      <w:proofErr w:type="spellStart"/>
      <w:r w:rsidRPr="009A697C">
        <w:rPr>
          <w:rFonts w:asciiTheme="majorHAnsi" w:hAnsiTheme="majorHAnsi"/>
          <w:b/>
          <w:i/>
          <w:lang w:val="el-GR"/>
        </w:rPr>
        <w:t>Φλωράτου</w:t>
      </w:r>
      <w:proofErr w:type="spellEnd"/>
      <w:r w:rsidRPr="009A697C">
        <w:rPr>
          <w:rFonts w:asciiTheme="majorHAnsi" w:hAnsiTheme="majorHAnsi"/>
          <w:b/>
          <w:i/>
          <w:lang w:val="el-GR"/>
        </w:rPr>
        <w:t xml:space="preserve"> </w:t>
      </w:r>
      <w:r w:rsidRPr="009A697C">
        <w:rPr>
          <w:rFonts w:asciiTheme="majorHAnsi" w:hAnsiTheme="majorHAnsi"/>
          <w:i/>
          <w:lang w:val="el-GR"/>
        </w:rPr>
        <w:t>κα</w:t>
      </w:r>
      <w:r w:rsidRPr="009A697C">
        <w:rPr>
          <w:rFonts w:asciiTheme="majorHAnsi" w:hAnsiTheme="majorHAnsi"/>
          <w:b/>
          <w:i/>
          <w:lang w:val="el-GR"/>
        </w:rPr>
        <w:t xml:space="preserve">ι Χρήστο </w:t>
      </w:r>
      <w:proofErr w:type="spellStart"/>
      <w:r w:rsidRPr="009A697C">
        <w:rPr>
          <w:rFonts w:asciiTheme="majorHAnsi" w:hAnsiTheme="majorHAnsi"/>
          <w:b/>
          <w:i/>
          <w:lang w:val="el-GR"/>
        </w:rPr>
        <w:t>Ηλιάδη</w:t>
      </w:r>
      <w:proofErr w:type="spellEnd"/>
      <w:r w:rsidRPr="009A697C">
        <w:rPr>
          <w:rFonts w:asciiTheme="majorHAnsi" w:hAnsiTheme="majorHAnsi"/>
          <w:i/>
          <w:lang w:val="el-GR"/>
        </w:rPr>
        <w:t xml:space="preserve">, Δικηγόρους Πειραιά που επιμελήθηκαν </w:t>
      </w:r>
      <w:r>
        <w:rPr>
          <w:rFonts w:asciiTheme="majorHAnsi" w:hAnsiTheme="majorHAnsi"/>
          <w:i/>
          <w:lang w:val="el-GR"/>
        </w:rPr>
        <w:t>και συνέταξαν τον ανωτέρω Πρακτικό Ο</w:t>
      </w:r>
      <w:r w:rsidRPr="009A697C">
        <w:rPr>
          <w:rFonts w:asciiTheme="majorHAnsi" w:hAnsiTheme="majorHAnsi"/>
          <w:i/>
          <w:lang w:val="el-GR"/>
        </w:rPr>
        <w:t>δηγό και</w:t>
      </w:r>
      <w:r>
        <w:rPr>
          <w:rFonts w:asciiTheme="majorHAnsi" w:hAnsiTheme="majorHAnsi"/>
          <w:i/>
          <w:lang w:val="el-GR"/>
        </w:rPr>
        <w:t xml:space="preserve"> τους περιεχόμενους σε αυτόν Π</w:t>
      </w:r>
      <w:r w:rsidRPr="009A697C">
        <w:rPr>
          <w:rFonts w:asciiTheme="majorHAnsi" w:hAnsiTheme="majorHAnsi"/>
          <w:i/>
          <w:lang w:val="el-GR"/>
        </w:rPr>
        <w:t>ίνακες.</w:t>
      </w:r>
    </w:p>
    <w:sectPr w:rsidR="009A697C" w:rsidRPr="009A697C" w:rsidSect="00E809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970B5" w14:textId="77777777" w:rsidR="003A5A27" w:rsidRDefault="003A5A27" w:rsidP="003D6C27">
      <w:r>
        <w:separator/>
      </w:r>
    </w:p>
  </w:endnote>
  <w:endnote w:type="continuationSeparator" w:id="0">
    <w:p w14:paraId="41D3E0BB" w14:textId="77777777" w:rsidR="003A5A27" w:rsidRDefault="003A5A27" w:rsidP="003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ÄË–·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4E5B9" w14:textId="77777777" w:rsidR="003A5A27" w:rsidRDefault="003A5A27" w:rsidP="003D6C27">
      <w:r>
        <w:separator/>
      </w:r>
    </w:p>
  </w:footnote>
  <w:footnote w:type="continuationSeparator" w:id="0">
    <w:p w14:paraId="2C63025C" w14:textId="77777777" w:rsidR="003A5A27" w:rsidRDefault="003A5A27" w:rsidP="003D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CF1"/>
    <w:multiLevelType w:val="hybridMultilevel"/>
    <w:tmpl w:val="650A9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6DF"/>
    <w:multiLevelType w:val="hybridMultilevel"/>
    <w:tmpl w:val="7B585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77265"/>
    <w:multiLevelType w:val="hybridMultilevel"/>
    <w:tmpl w:val="1ABE4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2C3EA5"/>
    <w:multiLevelType w:val="multilevel"/>
    <w:tmpl w:val="17A68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96D1EF7"/>
    <w:multiLevelType w:val="hybridMultilevel"/>
    <w:tmpl w:val="20C6B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51F26"/>
    <w:multiLevelType w:val="hybridMultilevel"/>
    <w:tmpl w:val="5944D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412A"/>
    <w:multiLevelType w:val="hybridMultilevel"/>
    <w:tmpl w:val="4AD8B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33964"/>
    <w:multiLevelType w:val="hybridMultilevel"/>
    <w:tmpl w:val="F15A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065CF"/>
    <w:multiLevelType w:val="hybridMultilevel"/>
    <w:tmpl w:val="9A24E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CB2D22"/>
    <w:multiLevelType w:val="hybridMultilevel"/>
    <w:tmpl w:val="76BA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B4223"/>
    <w:multiLevelType w:val="hybridMultilevel"/>
    <w:tmpl w:val="0032B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E32BD"/>
    <w:multiLevelType w:val="hybridMultilevel"/>
    <w:tmpl w:val="8A8CC6A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D5367C"/>
    <w:multiLevelType w:val="hybridMultilevel"/>
    <w:tmpl w:val="FB4E7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BC5F5F"/>
    <w:multiLevelType w:val="hybridMultilevel"/>
    <w:tmpl w:val="1744D306"/>
    <w:lvl w:ilvl="0" w:tplc="AA3E98E8">
      <w:start w:val="1"/>
      <w:numFmt w:val="non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A3AF7"/>
    <w:multiLevelType w:val="hybridMultilevel"/>
    <w:tmpl w:val="D04C9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8025C"/>
    <w:multiLevelType w:val="hybridMultilevel"/>
    <w:tmpl w:val="C680C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F47D60"/>
    <w:multiLevelType w:val="multilevel"/>
    <w:tmpl w:val="352054DE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A4DDA"/>
    <w:multiLevelType w:val="hybridMultilevel"/>
    <w:tmpl w:val="BF2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6329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2BB22C5"/>
    <w:multiLevelType w:val="multilevel"/>
    <w:tmpl w:val="55C01860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FC2ED9"/>
    <w:multiLevelType w:val="hybridMultilevel"/>
    <w:tmpl w:val="DB1A0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F05EA7"/>
    <w:multiLevelType w:val="hybridMultilevel"/>
    <w:tmpl w:val="BCAE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130A4"/>
    <w:multiLevelType w:val="hybridMultilevel"/>
    <w:tmpl w:val="3B62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974EA"/>
    <w:multiLevelType w:val="hybridMultilevel"/>
    <w:tmpl w:val="1C38ED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E692D"/>
    <w:multiLevelType w:val="hybridMultilevel"/>
    <w:tmpl w:val="819E0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7D30F7"/>
    <w:multiLevelType w:val="hybridMultilevel"/>
    <w:tmpl w:val="3EB63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C20C94"/>
    <w:multiLevelType w:val="hybridMultilevel"/>
    <w:tmpl w:val="6A388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6"/>
  </w:num>
  <w:num w:numId="5">
    <w:abstractNumId w:val="22"/>
  </w:num>
  <w:num w:numId="6">
    <w:abstractNumId w:val="10"/>
  </w:num>
  <w:num w:numId="7">
    <w:abstractNumId w:val="12"/>
  </w:num>
  <w:num w:numId="8">
    <w:abstractNumId w:val="25"/>
  </w:num>
  <w:num w:numId="9">
    <w:abstractNumId w:val="24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19"/>
  </w:num>
  <w:num w:numId="15">
    <w:abstractNumId w:val="16"/>
  </w:num>
  <w:num w:numId="16">
    <w:abstractNumId w:val="1"/>
  </w:num>
  <w:num w:numId="17">
    <w:abstractNumId w:val="2"/>
  </w:num>
  <w:num w:numId="18">
    <w:abstractNumId w:val="23"/>
  </w:num>
  <w:num w:numId="19">
    <w:abstractNumId w:val="17"/>
  </w:num>
  <w:num w:numId="20">
    <w:abstractNumId w:val="20"/>
  </w:num>
  <w:num w:numId="21">
    <w:abstractNumId w:val="21"/>
  </w:num>
  <w:num w:numId="22">
    <w:abstractNumId w:val="5"/>
  </w:num>
  <w:num w:numId="23">
    <w:abstractNumId w:val="6"/>
  </w:num>
  <w:num w:numId="24">
    <w:abstractNumId w:val="7"/>
  </w:num>
  <w:num w:numId="25">
    <w:abstractNumId w:val="3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F5"/>
    <w:rsid w:val="000020B6"/>
    <w:rsid w:val="00006C22"/>
    <w:rsid w:val="00014803"/>
    <w:rsid w:val="00015EA9"/>
    <w:rsid w:val="00020941"/>
    <w:rsid w:val="00025463"/>
    <w:rsid w:val="00027655"/>
    <w:rsid w:val="00027D81"/>
    <w:rsid w:val="000310BC"/>
    <w:rsid w:val="00031F2C"/>
    <w:rsid w:val="00034EEC"/>
    <w:rsid w:val="00040ED1"/>
    <w:rsid w:val="00047020"/>
    <w:rsid w:val="0005039E"/>
    <w:rsid w:val="000521C6"/>
    <w:rsid w:val="000601F8"/>
    <w:rsid w:val="00070D92"/>
    <w:rsid w:val="00080F12"/>
    <w:rsid w:val="00091356"/>
    <w:rsid w:val="00091631"/>
    <w:rsid w:val="00091A25"/>
    <w:rsid w:val="00092E3A"/>
    <w:rsid w:val="000A1678"/>
    <w:rsid w:val="000A24CB"/>
    <w:rsid w:val="000A4DD5"/>
    <w:rsid w:val="000A6234"/>
    <w:rsid w:val="000B2D06"/>
    <w:rsid w:val="000D00DD"/>
    <w:rsid w:val="000D0F39"/>
    <w:rsid w:val="000E1855"/>
    <w:rsid w:val="000E4DBD"/>
    <w:rsid w:val="000E5FC5"/>
    <w:rsid w:val="000F0E3A"/>
    <w:rsid w:val="000F2FBC"/>
    <w:rsid w:val="000F6523"/>
    <w:rsid w:val="001076C6"/>
    <w:rsid w:val="00115042"/>
    <w:rsid w:val="00122E9D"/>
    <w:rsid w:val="001249A1"/>
    <w:rsid w:val="0013217B"/>
    <w:rsid w:val="00133E03"/>
    <w:rsid w:val="00133EEA"/>
    <w:rsid w:val="00135FFF"/>
    <w:rsid w:val="00143AFF"/>
    <w:rsid w:val="001504C7"/>
    <w:rsid w:val="0015192D"/>
    <w:rsid w:val="00154F02"/>
    <w:rsid w:val="00157E9F"/>
    <w:rsid w:val="001645F5"/>
    <w:rsid w:val="0016670C"/>
    <w:rsid w:val="00167CE3"/>
    <w:rsid w:val="00172991"/>
    <w:rsid w:val="001826DA"/>
    <w:rsid w:val="00184484"/>
    <w:rsid w:val="0018588F"/>
    <w:rsid w:val="00185A75"/>
    <w:rsid w:val="0019117D"/>
    <w:rsid w:val="001A1387"/>
    <w:rsid w:val="001A3514"/>
    <w:rsid w:val="001A5D44"/>
    <w:rsid w:val="001A5D54"/>
    <w:rsid w:val="001B39E5"/>
    <w:rsid w:val="001C11B7"/>
    <w:rsid w:val="001C3B5C"/>
    <w:rsid w:val="001D3BEE"/>
    <w:rsid w:val="001D5449"/>
    <w:rsid w:val="001D64AF"/>
    <w:rsid w:val="001E3CBE"/>
    <w:rsid w:val="001F40B3"/>
    <w:rsid w:val="001F60C3"/>
    <w:rsid w:val="00204307"/>
    <w:rsid w:val="00206A26"/>
    <w:rsid w:val="00210EF8"/>
    <w:rsid w:val="00212FD3"/>
    <w:rsid w:val="002163B5"/>
    <w:rsid w:val="00220FB1"/>
    <w:rsid w:val="00232A36"/>
    <w:rsid w:val="00233EBB"/>
    <w:rsid w:val="00236D85"/>
    <w:rsid w:val="002402D5"/>
    <w:rsid w:val="00240512"/>
    <w:rsid w:val="00245EE5"/>
    <w:rsid w:val="0025734A"/>
    <w:rsid w:val="00257F5E"/>
    <w:rsid w:val="00265D3B"/>
    <w:rsid w:val="00266CE0"/>
    <w:rsid w:val="0027094D"/>
    <w:rsid w:val="002726E6"/>
    <w:rsid w:val="0028195B"/>
    <w:rsid w:val="00294DDF"/>
    <w:rsid w:val="002A092E"/>
    <w:rsid w:val="002A3BB8"/>
    <w:rsid w:val="002B095F"/>
    <w:rsid w:val="002B2AD8"/>
    <w:rsid w:val="002B449D"/>
    <w:rsid w:val="002B6ACD"/>
    <w:rsid w:val="002C085B"/>
    <w:rsid w:val="002C0B0D"/>
    <w:rsid w:val="002C29DD"/>
    <w:rsid w:val="002C6903"/>
    <w:rsid w:val="002D1BB0"/>
    <w:rsid w:val="002D350C"/>
    <w:rsid w:val="002D3FE0"/>
    <w:rsid w:val="002D54E3"/>
    <w:rsid w:val="002E0607"/>
    <w:rsid w:val="002E3CA7"/>
    <w:rsid w:val="002E6EF8"/>
    <w:rsid w:val="002F21F9"/>
    <w:rsid w:val="0030095B"/>
    <w:rsid w:val="00303DBC"/>
    <w:rsid w:val="0030419A"/>
    <w:rsid w:val="00304E8C"/>
    <w:rsid w:val="00305214"/>
    <w:rsid w:val="00306358"/>
    <w:rsid w:val="00306975"/>
    <w:rsid w:val="00314055"/>
    <w:rsid w:val="00317EDB"/>
    <w:rsid w:val="00320CA3"/>
    <w:rsid w:val="003244B2"/>
    <w:rsid w:val="00326E53"/>
    <w:rsid w:val="00331BD7"/>
    <w:rsid w:val="003564CA"/>
    <w:rsid w:val="003568FE"/>
    <w:rsid w:val="00361DE0"/>
    <w:rsid w:val="0036494C"/>
    <w:rsid w:val="003666A9"/>
    <w:rsid w:val="0037439D"/>
    <w:rsid w:val="003807B5"/>
    <w:rsid w:val="003823D7"/>
    <w:rsid w:val="00383320"/>
    <w:rsid w:val="003835FE"/>
    <w:rsid w:val="003875B7"/>
    <w:rsid w:val="003913F8"/>
    <w:rsid w:val="003931DF"/>
    <w:rsid w:val="003965B9"/>
    <w:rsid w:val="00396C5C"/>
    <w:rsid w:val="003A169D"/>
    <w:rsid w:val="003A1BB7"/>
    <w:rsid w:val="003A5A27"/>
    <w:rsid w:val="003C09F6"/>
    <w:rsid w:val="003C21DD"/>
    <w:rsid w:val="003C38D3"/>
    <w:rsid w:val="003C510C"/>
    <w:rsid w:val="003C6DDC"/>
    <w:rsid w:val="003D0ABC"/>
    <w:rsid w:val="003D6C27"/>
    <w:rsid w:val="003D7274"/>
    <w:rsid w:val="003F486B"/>
    <w:rsid w:val="003F6D39"/>
    <w:rsid w:val="00410370"/>
    <w:rsid w:val="004152B8"/>
    <w:rsid w:val="004159B8"/>
    <w:rsid w:val="00426574"/>
    <w:rsid w:val="004266F5"/>
    <w:rsid w:val="00430353"/>
    <w:rsid w:val="00431B1B"/>
    <w:rsid w:val="004357D3"/>
    <w:rsid w:val="0043624D"/>
    <w:rsid w:val="004376CE"/>
    <w:rsid w:val="004420DE"/>
    <w:rsid w:val="00455C1D"/>
    <w:rsid w:val="004600BF"/>
    <w:rsid w:val="00466857"/>
    <w:rsid w:val="004702EC"/>
    <w:rsid w:val="00480EBA"/>
    <w:rsid w:val="00490BB5"/>
    <w:rsid w:val="004A424D"/>
    <w:rsid w:val="004A5AAD"/>
    <w:rsid w:val="004B2774"/>
    <w:rsid w:val="004B4C9A"/>
    <w:rsid w:val="004B4CE7"/>
    <w:rsid w:val="004C253A"/>
    <w:rsid w:val="004C42FA"/>
    <w:rsid w:val="004C771D"/>
    <w:rsid w:val="004D0EA2"/>
    <w:rsid w:val="004D2A4E"/>
    <w:rsid w:val="004D519E"/>
    <w:rsid w:val="004D61A4"/>
    <w:rsid w:val="004D69F3"/>
    <w:rsid w:val="004E6B67"/>
    <w:rsid w:val="004F0571"/>
    <w:rsid w:val="004F51A5"/>
    <w:rsid w:val="004F79B6"/>
    <w:rsid w:val="00504430"/>
    <w:rsid w:val="00504AF8"/>
    <w:rsid w:val="005067C6"/>
    <w:rsid w:val="00507DA5"/>
    <w:rsid w:val="00516415"/>
    <w:rsid w:val="00522439"/>
    <w:rsid w:val="00531FA3"/>
    <w:rsid w:val="0053720E"/>
    <w:rsid w:val="005512BB"/>
    <w:rsid w:val="005538FC"/>
    <w:rsid w:val="00555AFC"/>
    <w:rsid w:val="00560BF3"/>
    <w:rsid w:val="005626BD"/>
    <w:rsid w:val="00567B57"/>
    <w:rsid w:val="005801F4"/>
    <w:rsid w:val="00581F85"/>
    <w:rsid w:val="00583AFA"/>
    <w:rsid w:val="00585B7B"/>
    <w:rsid w:val="00585F0A"/>
    <w:rsid w:val="00597304"/>
    <w:rsid w:val="005973A2"/>
    <w:rsid w:val="005A1234"/>
    <w:rsid w:val="005A3287"/>
    <w:rsid w:val="005A45B1"/>
    <w:rsid w:val="005B41F3"/>
    <w:rsid w:val="005B5F7D"/>
    <w:rsid w:val="005B683C"/>
    <w:rsid w:val="005B6FB8"/>
    <w:rsid w:val="005C1C50"/>
    <w:rsid w:val="005C218D"/>
    <w:rsid w:val="005C6987"/>
    <w:rsid w:val="005D2096"/>
    <w:rsid w:val="005D320D"/>
    <w:rsid w:val="005D4892"/>
    <w:rsid w:val="005E6B9A"/>
    <w:rsid w:val="005F3755"/>
    <w:rsid w:val="005F3D97"/>
    <w:rsid w:val="005F3EBF"/>
    <w:rsid w:val="005F76F9"/>
    <w:rsid w:val="006016F0"/>
    <w:rsid w:val="00606772"/>
    <w:rsid w:val="00610A8D"/>
    <w:rsid w:val="00610D04"/>
    <w:rsid w:val="00617FDA"/>
    <w:rsid w:val="00624D64"/>
    <w:rsid w:val="00627633"/>
    <w:rsid w:val="006307B4"/>
    <w:rsid w:val="00632648"/>
    <w:rsid w:val="00637F0D"/>
    <w:rsid w:val="00640B7E"/>
    <w:rsid w:val="00647CBA"/>
    <w:rsid w:val="00650783"/>
    <w:rsid w:val="006541F9"/>
    <w:rsid w:val="00662F1E"/>
    <w:rsid w:val="00666E2B"/>
    <w:rsid w:val="006708D1"/>
    <w:rsid w:val="00671153"/>
    <w:rsid w:val="006739C2"/>
    <w:rsid w:val="0068023A"/>
    <w:rsid w:val="00681547"/>
    <w:rsid w:val="00684920"/>
    <w:rsid w:val="00692E5B"/>
    <w:rsid w:val="0069314E"/>
    <w:rsid w:val="00693C36"/>
    <w:rsid w:val="00694F23"/>
    <w:rsid w:val="006A214E"/>
    <w:rsid w:val="006A2266"/>
    <w:rsid w:val="006A4D3E"/>
    <w:rsid w:val="006A5BE6"/>
    <w:rsid w:val="006B3822"/>
    <w:rsid w:val="006B4BE4"/>
    <w:rsid w:val="006B721D"/>
    <w:rsid w:val="006D0A34"/>
    <w:rsid w:val="006E0474"/>
    <w:rsid w:val="006E406F"/>
    <w:rsid w:val="006E52D0"/>
    <w:rsid w:val="006E607B"/>
    <w:rsid w:val="006F443F"/>
    <w:rsid w:val="006F635A"/>
    <w:rsid w:val="006F6846"/>
    <w:rsid w:val="006F7E5A"/>
    <w:rsid w:val="00702346"/>
    <w:rsid w:val="00705C50"/>
    <w:rsid w:val="00705E23"/>
    <w:rsid w:val="00707B0A"/>
    <w:rsid w:val="00711737"/>
    <w:rsid w:val="00717AE5"/>
    <w:rsid w:val="00726091"/>
    <w:rsid w:val="00730920"/>
    <w:rsid w:val="00731760"/>
    <w:rsid w:val="00742F54"/>
    <w:rsid w:val="00743CB3"/>
    <w:rsid w:val="007441E5"/>
    <w:rsid w:val="007550B8"/>
    <w:rsid w:val="00757321"/>
    <w:rsid w:val="00760C83"/>
    <w:rsid w:val="00764F30"/>
    <w:rsid w:val="00770F61"/>
    <w:rsid w:val="00775382"/>
    <w:rsid w:val="00786CF6"/>
    <w:rsid w:val="00795700"/>
    <w:rsid w:val="007A1795"/>
    <w:rsid w:val="007A1FB8"/>
    <w:rsid w:val="007A7A92"/>
    <w:rsid w:val="007C1130"/>
    <w:rsid w:val="007C1DBB"/>
    <w:rsid w:val="007C7957"/>
    <w:rsid w:val="007D14EF"/>
    <w:rsid w:val="007D40F0"/>
    <w:rsid w:val="007D6B9D"/>
    <w:rsid w:val="007E3CC3"/>
    <w:rsid w:val="007F3B8B"/>
    <w:rsid w:val="007F4F17"/>
    <w:rsid w:val="00800495"/>
    <w:rsid w:val="00800DD1"/>
    <w:rsid w:val="00803229"/>
    <w:rsid w:val="0080354D"/>
    <w:rsid w:val="0080587A"/>
    <w:rsid w:val="008068E5"/>
    <w:rsid w:val="00820CB9"/>
    <w:rsid w:val="00823335"/>
    <w:rsid w:val="00825936"/>
    <w:rsid w:val="008347E0"/>
    <w:rsid w:val="00836ADD"/>
    <w:rsid w:val="00837FF6"/>
    <w:rsid w:val="00842A82"/>
    <w:rsid w:val="008435DB"/>
    <w:rsid w:val="008443A5"/>
    <w:rsid w:val="00850FA4"/>
    <w:rsid w:val="00851C76"/>
    <w:rsid w:val="00851D2A"/>
    <w:rsid w:val="00854362"/>
    <w:rsid w:val="00856E0E"/>
    <w:rsid w:val="0086022C"/>
    <w:rsid w:val="0086110E"/>
    <w:rsid w:val="0086794A"/>
    <w:rsid w:val="008717F1"/>
    <w:rsid w:val="008752FC"/>
    <w:rsid w:val="008A3009"/>
    <w:rsid w:val="008B36FD"/>
    <w:rsid w:val="008C6E04"/>
    <w:rsid w:val="008C7981"/>
    <w:rsid w:val="008D0F00"/>
    <w:rsid w:val="008E502A"/>
    <w:rsid w:val="008F0106"/>
    <w:rsid w:val="008F0BEB"/>
    <w:rsid w:val="008F12BD"/>
    <w:rsid w:val="008F1635"/>
    <w:rsid w:val="009101BB"/>
    <w:rsid w:val="00911F74"/>
    <w:rsid w:val="00916071"/>
    <w:rsid w:val="00920448"/>
    <w:rsid w:val="00927210"/>
    <w:rsid w:val="009324CB"/>
    <w:rsid w:val="00934A1F"/>
    <w:rsid w:val="00934E87"/>
    <w:rsid w:val="00946B27"/>
    <w:rsid w:val="00947068"/>
    <w:rsid w:val="0094740F"/>
    <w:rsid w:val="009517F3"/>
    <w:rsid w:val="009803B7"/>
    <w:rsid w:val="009827FA"/>
    <w:rsid w:val="00985402"/>
    <w:rsid w:val="00992F63"/>
    <w:rsid w:val="0099740C"/>
    <w:rsid w:val="009A643B"/>
    <w:rsid w:val="009A697C"/>
    <w:rsid w:val="009B15B5"/>
    <w:rsid w:val="009B1B9F"/>
    <w:rsid w:val="009B2205"/>
    <w:rsid w:val="009B6268"/>
    <w:rsid w:val="009C00FF"/>
    <w:rsid w:val="009C564F"/>
    <w:rsid w:val="009C71D7"/>
    <w:rsid w:val="009D191B"/>
    <w:rsid w:val="009D459B"/>
    <w:rsid w:val="009D5F76"/>
    <w:rsid w:val="009D7D23"/>
    <w:rsid w:val="009E00ED"/>
    <w:rsid w:val="009E0C11"/>
    <w:rsid w:val="009E5768"/>
    <w:rsid w:val="009E637A"/>
    <w:rsid w:val="009F2581"/>
    <w:rsid w:val="009F6F55"/>
    <w:rsid w:val="00A020E1"/>
    <w:rsid w:val="00A060CF"/>
    <w:rsid w:val="00A10261"/>
    <w:rsid w:val="00A20939"/>
    <w:rsid w:val="00A2234C"/>
    <w:rsid w:val="00A34290"/>
    <w:rsid w:val="00A34E15"/>
    <w:rsid w:val="00A35732"/>
    <w:rsid w:val="00A36448"/>
    <w:rsid w:val="00A37416"/>
    <w:rsid w:val="00A37B56"/>
    <w:rsid w:val="00A43ACB"/>
    <w:rsid w:val="00A5431B"/>
    <w:rsid w:val="00A562AC"/>
    <w:rsid w:val="00A64D0C"/>
    <w:rsid w:val="00A7124D"/>
    <w:rsid w:val="00A815E2"/>
    <w:rsid w:val="00A87D76"/>
    <w:rsid w:val="00A93DCC"/>
    <w:rsid w:val="00A96A5F"/>
    <w:rsid w:val="00AB0C20"/>
    <w:rsid w:val="00AC096C"/>
    <w:rsid w:val="00AC3CB2"/>
    <w:rsid w:val="00AC706F"/>
    <w:rsid w:val="00AD7F39"/>
    <w:rsid w:val="00AF00A4"/>
    <w:rsid w:val="00AF3E7A"/>
    <w:rsid w:val="00AF4018"/>
    <w:rsid w:val="00AF6C39"/>
    <w:rsid w:val="00B0232D"/>
    <w:rsid w:val="00B16956"/>
    <w:rsid w:val="00B207AA"/>
    <w:rsid w:val="00B207C8"/>
    <w:rsid w:val="00B2177C"/>
    <w:rsid w:val="00B23461"/>
    <w:rsid w:val="00B24440"/>
    <w:rsid w:val="00B259AE"/>
    <w:rsid w:val="00B25F34"/>
    <w:rsid w:val="00B26924"/>
    <w:rsid w:val="00B32A89"/>
    <w:rsid w:val="00B34543"/>
    <w:rsid w:val="00B36D16"/>
    <w:rsid w:val="00B42DC8"/>
    <w:rsid w:val="00B50A5F"/>
    <w:rsid w:val="00B52732"/>
    <w:rsid w:val="00B543D9"/>
    <w:rsid w:val="00B61807"/>
    <w:rsid w:val="00B6236F"/>
    <w:rsid w:val="00B76F87"/>
    <w:rsid w:val="00B80D30"/>
    <w:rsid w:val="00B82814"/>
    <w:rsid w:val="00B8631A"/>
    <w:rsid w:val="00B97775"/>
    <w:rsid w:val="00BA1729"/>
    <w:rsid w:val="00BA366A"/>
    <w:rsid w:val="00BA422B"/>
    <w:rsid w:val="00BB051A"/>
    <w:rsid w:val="00BB16F8"/>
    <w:rsid w:val="00BC43A6"/>
    <w:rsid w:val="00BC50F9"/>
    <w:rsid w:val="00BC6882"/>
    <w:rsid w:val="00BD1F07"/>
    <w:rsid w:val="00BF4BD0"/>
    <w:rsid w:val="00C0294E"/>
    <w:rsid w:val="00C0362D"/>
    <w:rsid w:val="00C136A9"/>
    <w:rsid w:val="00C20AC6"/>
    <w:rsid w:val="00C244DB"/>
    <w:rsid w:val="00C26A3B"/>
    <w:rsid w:val="00C37FE5"/>
    <w:rsid w:val="00C45C6C"/>
    <w:rsid w:val="00C51EAA"/>
    <w:rsid w:val="00C52DF4"/>
    <w:rsid w:val="00C81AD7"/>
    <w:rsid w:val="00C82ED5"/>
    <w:rsid w:val="00C878B8"/>
    <w:rsid w:val="00C9112A"/>
    <w:rsid w:val="00C9184A"/>
    <w:rsid w:val="00CA35F5"/>
    <w:rsid w:val="00CA566B"/>
    <w:rsid w:val="00CA56AD"/>
    <w:rsid w:val="00CB3B09"/>
    <w:rsid w:val="00CB6BAB"/>
    <w:rsid w:val="00CC095B"/>
    <w:rsid w:val="00CC3946"/>
    <w:rsid w:val="00CC4BB8"/>
    <w:rsid w:val="00CD11D2"/>
    <w:rsid w:val="00CD237A"/>
    <w:rsid w:val="00CD45F8"/>
    <w:rsid w:val="00CD5660"/>
    <w:rsid w:val="00CE336C"/>
    <w:rsid w:val="00CE7A9F"/>
    <w:rsid w:val="00CE7F45"/>
    <w:rsid w:val="00CF132E"/>
    <w:rsid w:val="00CF15F4"/>
    <w:rsid w:val="00CF2067"/>
    <w:rsid w:val="00CF5572"/>
    <w:rsid w:val="00CF6383"/>
    <w:rsid w:val="00CF7BEA"/>
    <w:rsid w:val="00D00776"/>
    <w:rsid w:val="00D01D74"/>
    <w:rsid w:val="00D04EC8"/>
    <w:rsid w:val="00D0549F"/>
    <w:rsid w:val="00D10206"/>
    <w:rsid w:val="00D10571"/>
    <w:rsid w:val="00D110DD"/>
    <w:rsid w:val="00D123CB"/>
    <w:rsid w:val="00D12779"/>
    <w:rsid w:val="00D1449C"/>
    <w:rsid w:val="00D21102"/>
    <w:rsid w:val="00D250C7"/>
    <w:rsid w:val="00D25C7A"/>
    <w:rsid w:val="00D27F90"/>
    <w:rsid w:val="00D36309"/>
    <w:rsid w:val="00D36B3B"/>
    <w:rsid w:val="00D43732"/>
    <w:rsid w:val="00D56EF4"/>
    <w:rsid w:val="00D601A4"/>
    <w:rsid w:val="00D6150F"/>
    <w:rsid w:val="00D65199"/>
    <w:rsid w:val="00D66D98"/>
    <w:rsid w:val="00D74590"/>
    <w:rsid w:val="00D9338F"/>
    <w:rsid w:val="00DA16A1"/>
    <w:rsid w:val="00DA6FBB"/>
    <w:rsid w:val="00DB110C"/>
    <w:rsid w:val="00DB4752"/>
    <w:rsid w:val="00DC3234"/>
    <w:rsid w:val="00DD25D9"/>
    <w:rsid w:val="00DD3E76"/>
    <w:rsid w:val="00DE070E"/>
    <w:rsid w:val="00DE1910"/>
    <w:rsid w:val="00DE447A"/>
    <w:rsid w:val="00DE64A9"/>
    <w:rsid w:val="00DE6F80"/>
    <w:rsid w:val="00DE7BA6"/>
    <w:rsid w:val="00DF30EF"/>
    <w:rsid w:val="00DF3BC6"/>
    <w:rsid w:val="00DF5BAD"/>
    <w:rsid w:val="00DF789F"/>
    <w:rsid w:val="00E032A0"/>
    <w:rsid w:val="00E04000"/>
    <w:rsid w:val="00E041A5"/>
    <w:rsid w:val="00E125E2"/>
    <w:rsid w:val="00E31BF3"/>
    <w:rsid w:val="00E3208E"/>
    <w:rsid w:val="00E32C43"/>
    <w:rsid w:val="00E355EA"/>
    <w:rsid w:val="00E35696"/>
    <w:rsid w:val="00E4000F"/>
    <w:rsid w:val="00E40423"/>
    <w:rsid w:val="00E51985"/>
    <w:rsid w:val="00E5652C"/>
    <w:rsid w:val="00E574FA"/>
    <w:rsid w:val="00E61384"/>
    <w:rsid w:val="00E61675"/>
    <w:rsid w:val="00E7739E"/>
    <w:rsid w:val="00E8090E"/>
    <w:rsid w:val="00E83359"/>
    <w:rsid w:val="00E8585A"/>
    <w:rsid w:val="00E86AA7"/>
    <w:rsid w:val="00E93586"/>
    <w:rsid w:val="00E93FBA"/>
    <w:rsid w:val="00E97372"/>
    <w:rsid w:val="00EA5617"/>
    <w:rsid w:val="00EB5BFA"/>
    <w:rsid w:val="00EC1D69"/>
    <w:rsid w:val="00EC698D"/>
    <w:rsid w:val="00EE25E0"/>
    <w:rsid w:val="00EE4D58"/>
    <w:rsid w:val="00EF7E39"/>
    <w:rsid w:val="00F00316"/>
    <w:rsid w:val="00F12E06"/>
    <w:rsid w:val="00F21A1D"/>
    <w:rsid w:val="00F36275"/>
    <w:rsid w:val="00F40A2F"/>
    <w:rsid w:val="00F44309"/>
    <w:rsid w:val="00F5008E"/>
    <w:rsid w:val="00F50EC8"/>
    <w:rsid w:val="00F53621"/>
    <w:rsid w:val="00F55C5C"/>
    <w:rsid w:val="00F55E4A"/>
    <w:rsid w:val="00F70818"/>
    <w:rsid w:val="00F70EAA"/>
    <w:rsid w:val="00F71807"/>
    <w:rsid w:val="00F75188"/>
    <w:rsid w:val="00F813C4"/>
    <w:rsid w:val="00F8207D"/>
    <w:rsid w:val="00F83B2A"/>
    <w:rsid w:val="00F8576F"/>
    <w:rsid w:val="00F96153"/>
    <w:rsid w:val="00F963B7"/>
    <w:rsid w:val="00FA0F23"/>
    <w:rsid w:val="00FA3461"/>
    <w:rsid w:val="00FA6573"/>
    <w:rsid w:val="00FB3842"/>
    <w:rsid w:val="00FB404D"/>
    <w:rsid w:val="00FB69F9"/>
    <w:rsid w:val="00FB76CB"/>
    <w:rsid w:val="00FC27F8"/>
    <w:rsid w:val="00FC5423"/>
    <w:rsid w:val="00FD0908"/>
    <w:rsid w:val="00FD2492"/>
    <w:rsid w:val="00FD56C3"/>
    <w:rsid w:val="00FD57C8"/>
    <w:rsid w:val="00FE6297"/>
    <w:rsid w:val="00FF122C"/>
    <w:rsid w:val="00FF255F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980C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C27"/>
  </w:style>
  <w:style w:type="paragraph" w:styleId="Footer">
    <w:name w:val="footer"/>
    <w:basedOn w:val="Normal"/>
    <w:link w:val="FooterChar"/>
    <w:uiPriority w:val="99"/>
    <w:unhideWhenUsed/>
    <w:rsid w:val="003D6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C27"/>
  </w:style>
  <w:style w:type="paragraph" w:styleId="ListParagraph">
    <w:name w:val="List Paragraph"/>
    <w:basedOn w:val="Normal"/>
    <w:uiPriority w:val="34"/>
    <w:qFormat/>
    <w:rsid w:val="002A0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1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6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6794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D5F7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9D5F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9D5F7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C27"/>
  </w:style>
  <w:style w:type="paragraph" w:styleId="Footer">
    <w:name w:val="footer"/>
    <w:basedOn w:val="Normal"/>
    <w:link w:val="FooterChar"/>
    <w:uiPriority w:val="99"/>
    <w:unhideWhenUsed/>
    <w:rsid w:val="003D6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C27"/>
  </w:style>
  <w:style w:type="paragraph" w:styleId="ListParagraph">
    <w:name w:val="List Paragraph"/>
    <w:basedOn w:val="Normal"/>
    <w:uiPriority w:val="34"/>
    <w:qFormat/>
    <w:rsid w:val="002A0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1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6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6794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D5F7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9D5F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9D5F7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ade.gr/epiheiriseis/mydata-ilektronika-biblia-aade/eidiki-forma-katahorisis-diabibasi-parastatiko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aade.gr/epiheiriseis/mydata-ilektronika-biblia-aade/parohoi-ypiresion-ilektronikis-timologisis" TargetMode="External"/><Relationship Id="rId10" Type="http://schemas.openxmlformats.org/officeDocument/2006/relationships/hyperlink" Target="https://www.aade.gr/timolog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1CB79-D6D7-B841-BACC-6EA26F53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6</Pages>
  <Words>1831</Words>
  <Characters>10438</Characters>
  <Application>Microsoft Macintosh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</dc:creator>
  <cp:keywords/>
  <dc:description/>
  <cp:lastModifiedBy>Ioannis</cp:lastModifiedBy>
  <cp:revision>1328</cp:revision>
  <cp:lastPrinted>2022-01-05T09:44:00Z</cp:lastPrinted>
  <dcterms:created xsi:type="dcterms:W3CDTF">2022-01-04T09:00:00Z</dcterms:created>
  <dcterms:modified xsi:type="dcterms:W3CDTF">2022-01-09T12:08:00Z</dcterms:modified>
</cp:coreProperties>
</file>